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gif" ContentType="image/gif"/>
  <Override PartName="/word/media/image3.gif" ContentType="image/gif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9360" w:type="dxa"/>
        <w:jc w:val="left"/>
        <w:tblInd w:w="0" w:type="dxa"/>
        <w:tblCellMar>
          <w:top w:w="0" w:type="dxa"/>
          <w:left w:w="71" w:type="dxa"/>
          <w:bottom w:w="0" w:type="dxa"/>
          <w:right w:w="71" w:type="dxa"/>
        </w:tblCellMar>
        <w:tblLook w:firstRow="0" w:noVBand="0" w:lastRow="0" w:firstColumn="0" w:lastColumn="0" w:noHBand="0" w:val="0000"/>
      </w:tblPr>
      <w:tblGrid>
        <w:gridCol w:w="9360"/>
      </w:tblGrid>
      <w:tr>
        <w:trPr/>
        <w:tc>
          <w:tcPr>
            <w:tcW w:w="9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MS Sans Serif" w:hAnsi="MS Sans Serif" w:cs="MS Sans Serif"/>
                <w:b/>
                <w:b/>
                <w:sz w:val="18"/>
                <w:szCs w:val="18"/>
                <w:lang w:val="hu-HU"/>
              </w:rPr>
            </w:pPr>
            <w:r>
              <w:rPr>
                <w:b/>
                <w:color w:val="000000"/>
                <w:sz w:val="18"/>
                <w:szCs w:val="18"/>
                <w:lang w:val="hu-HU"/>
              </w:rPr>
              <w:t>1. SZAKASZ: Az anyag/keverék és a vállalat/vállalkozás azonosítása</w:t>
            </w:r>
          </w:p>
        </w:tc>
      </w:tr>
    </w:tbl>
    <w:p>
      <w:pPr>
        <w:pStyle w:val="Normal"/>
        <w:widowControl w:val="false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</w:r>
    </w:p>
    <w:tbl>
      <w:tblPr>
        <w:tblW w:w="9355" w:type="dxa"/>
        <w:jc w:val="left"/>
        <w:tblInd w:w="0" w:type="dxa"/>
        <w:tblCellMar>
          <w:top w:w="0" w:type="dxa"/>
          <w:left w:w="71" w:type="dxa"/>
          <w:bottom w:w="0" w:type="dxa"/>
          <w:right w:w="71" w:type="dxa"/>
        </w:tblCellMar>
        <w:tblLook w:firstRow="0" w:noVBand="0" w:lastRow="0" w:firstColumn="0" w:lastColumn="0" w:noHBand="0" w:val="0000"/>
      </w:tblPr>
      <w:tblGrid>
        <w:gridCol w:w="3472"/>
        <w:gridCol w:w="5882"/>
      </w:tblGrid>
      <w:tr>
        <w:trPr/>
        <w:tc>
          <w:tcPr>
            <w:tcW w:w="3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MS Sans Serif" w:hAnsi="MS Sans Serif" w:cs="MS Sans Serif"/>
                <w:lang w:val="hu-HU"/>
              </w:rPr>
            </w:pPr>
            <w:r>
              <w:rPr>
                <w:b/>
                <w:bCs/>
                <w:color w:val="000000"/>
                <w:sz w:val="18"/>
                <w:szCs w:val="18"/>
                <w:lang w:val="hu-HU"/>
              </w:rPr>
              <w:t>1.1 Termékazonosító:</w:t>
            </w:r>
          </w:p>
        </w:tc>
        <w:tc>
          <w:tcPr>
            <w:tcW w:w="5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color w:val="000000"/>
                <w:sz w:val="18"/>
                <w:szCs w:val="18"/>
                <w:lang w:val="hu-HU"/>
              </w:rPr>
            </w:pPr>
            <w:r>
              <w:rPr>
                <w:b/>
                <w:bCs/>
                <w:iCs/>
                <w:sz w:val="18"/>
                <w:szCs w:val="18"/>
                <w:lang w:val="hu-HU" w:eastAsia="en-GB"/>
              </w:rPr>
              <w:t>K2 PERFECT AKRA</w:t>
            </w:r>
            <w:r>
              <w:rPr>
                <w:color w:val="000000"/>
                <w:sz w:val="18"/>
                <w:szCs w:val="18"/>
                <w:lang w:val="hu-HU"/>
              </w:rPr>
              <w:t xml:space="preserve"> </w:t>
            </w:r>
          </w:p>
          <w:p>
            <w:pPr>
              <w:pStyle w:val="Normal"/>
              <w:widowControl w:val="false"/>
              <w:rPr>
                <w:color w:val="000000"/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 xml:space="preserve">Tartalmaz: </w:t>
            </w:r>
            <w:r>
              <w:rPr>
                <w:color w:val="000000"/>
                <w:sz w:val="18"/>
                <w:szCs w:val="18"/>
                <w:shd w:fill="FFFFFF" w:val="clear"/>
              </w:rPr>
              <w:t xml:space="preserve">tetranátrium-etilén-diamin-tetraacetát; </w:t>
            </w:r>
            <w:r>
              <w:rPr>
                <w:iCs/>
                <w:sz w:val="18"/>
                <w:szCs w:val="18"/>
                <w:lang w:val="hu-HU" w:eastAsia="en-GB"/>
              </w:rPr>
              <w:t>Hexyl D-glucoside, oligomeric, C8-10 glycosides; alcohols, C12-15, ethoxylated, sulfates, sodium salts</w:t>
            </w:r>
          </w:p>
        </w:tc>
      </w:tr>
      <w:tr>
        <w:trPr/>
        <w:tc>
          <w:tcPr>
            <w:tcW w:w="3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sz w:val="18"/>
                <w:szCs w:val="18"/>
                <w:lang w:val="hu-HU"/>
              </w:rPr>
            </w:pPr>
            <w:r>
              <w:rPr>
                <w:b/>
                <w:bCs/>
                <w:color w:val="000000"/>
                <w:sz w:val="18"/>
                <w:szCs w:val="18"/>
                <w:lang w:val="hu-HU"/>
              </w:rPr>
              <w:t>1.2 Az anyag vagy keverék megfelelő azonosított felhasználásai, illetve ellenjavallt felhasználásai:</w:t>
            </w:r>
          </w:p>
        </w:tc>
        <w:tc>
          <w:tcPr>
            <w:tcW w:w="5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color w:val="000000"/>
                <w:sz w:val="18"/>
                <w:szCs w:val="18"/>
                <w:lang w:val="hu-HU"/>
              </w:rPr>
            </w:pPr>
            <w:r>
              <w:rPr>
                <w:color w:val="000000"/>
                <w:sz w:val="18"/>
                <w:szCs w:val="18"/>
                <w:lang w:val="hu-HU"/>
              </w:rPr>
              <w:t xml:space="preserve">Motortisztító, ellenjavallat felhasználás: nem meghatározott. </w:t>
            </w:r>
          </w:p>
        </w:tc>
      </w:tr>
    </w:tbl>
    <w:p>
      <w:pPr>
        <w:pStyle w:val="Normal"/>
        <w:widowControl w:val="false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</w:r>
    </w:p>
    <w:tbl>
      <w:tblPr>
        <w:tblW w:w="9355" w:type="dxa"/>
        <w:jc w:val="left"/>
        <w:tblInd w:w="0" w:type="dxa"/>
        <w:tblCellMar>
          <w:top w:w="0" w:type="dxa"/>
          <w:left w:w="71" w:type="dxa"/>
          <w:bottom w:w="0" w:type="dxa"/>
          <w:right w:w="71" w:type="dxa"/>
        </w:tblCellMar>
        <w:tblLook w:firstRow="0" w:noVBand="0" w:lastRow="0" w:firstColumn="0" w:lastColumn="0" w:noHBand="0" w:val="0000"/>
      </w:tblPr>
      <w:tblGrid>
        <w:gridCol w:w="3472"/>
        <w:gridCol w:w="2940"/>
        <w:gridCol w:w="2943"/>
      </w:tblGrid>
      <w:tr>
        <w:trPr>
          <w:trHeight w:val="828" w:hRule="atLeast"/>
        </w:trPr>
        <w:tc>
          <w:tcPr>
            <w:tcW w:w="3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MS Sans Serif" w:hAnsi="MS Sans Serif" w:cs="MS Sans Serif"/>
                <w:lang w:val="hu-HU"/>
              </w:rPr>
            </w:pPr>
            <w:r>
              <w:rPr>
                <w:b/>
                <w:bCs/>
                <w:color w:val="000000"/>
                <w:sz w:val="18"/>
                <w:szCs w:val="18"/>
                <w:lang w:val="hu-HU"/>
              </w:rPr>
              <w:t xml:space="preserve"> </w:t>
            </w:r>
            <w:r>
              <w:rPr>
                <w:b/>
                <w:bCs/>
                <w:color w:val="000000"/>
                <w:sz w:val="18"/>
                <w:szCs w:val="18"/>
                <w:lang w:val="hu-HU"/>
              </w:rPr>
              <w:t>1.3 A biztonsági adatlap szállítójának adatai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fill="auto" w:val="clear"/>
          </w:tcPr>
          <w:p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hu-HU"/>
              </w:rPr>
            </w:pPr>
            <w:r>
              <w:rPr>
                <w:rFonts w:cs="Times New Roman" w:ascii="Times New Roman" w:hAnsi="Times New Roman"/>
                <w:sz w:val="18"/>
                <w:szCs w:val="18"/>
                <w:lang w:val="hu-HU"/>
              </w:rPr>
              <w:t xml:space="preserve">Gyártó: </w:t>
            </w:r>
          </w:p>
          <w:p>
            <w:pPr>
              <w:pStyle w:val="Normal"/>
              <w:rPr>
                <w:iCs/>
                <w:sz w:val="18"/>
                <w:szCs w:val="18"/>
                <w:lang w:val="hu-HU" w:eastAsia="en-GB"/>
              </w:rPr>
            </w:pPr>
            <w:r>
              <w:rPr>
                <w:iCs/>
                <w:sz w:val="18"/>
                <w:szCs w:val="18"/>
                <w:lang w:val="hu-HU" w:eastAsia="en-GB"/>
              </w:rPr>
              <w:t>Melle Sp. z o. o.</w:t>
            </w:r>
          </w:p>
          <w:p>
            <w:pPr>
              <w:pStyle w:val="Normal"/>
              <w:rPr>
                <w:iCs/>
                <w:sz w:val="18"/>
                <w:szCs w:val="18"/>
                <w:lang w:val="hu-HU" w:eastAsia="en-GB"/>
              </w:rPr>
            </w:pPr>
            <w:r>
              <w:rPr>
                <w:iCs/>
                <w:sz w:val="18"/>
                <w:szCs w:val="18"/>
                <w:lang w:val="hu-HU" w:eastAsia="en-GB"/>
              </w:rPr>
              <w:t>Stary Staw 9</w:t>
            </w:r>
          </w:p>
          <w:p>
            <w:pPr>
              <w:pStyle w:val="Normal"/>
              <w:rPr>
                <w:iCs/>
                <w:sz w:val="18"/>
                <w:szCs w:val="18"/>
                <w:lang w:val="hu-HU" w:eastAsia="en-GB"/>
              </w:rPr>
            </w:pPr>
            <w:r>
              <w:rPr>
                <w:iCs/>
                <w:sz w:val="18"/>
                <w:szCs w:val="18"/>
                <w:lang w:val="hu-HU" w:eastAsia="en-GB"/>
              </w:rPr>
              <w:t>63-400 OSTRÓW WLKP.</w:t>
            </w:r>
          </w:p>
          <w:p>
            <w:pPr>
              <w:pStyle w:val="Normal"/>
              <w:widowControl w:val="false"/>
              <w:jc w:val="both"/>
              <w:rPr>
                <w:iCs/>
                <w:sz w:val="18"/>
                <w:szCs w:val="18"/>
                <w:lang w:val="hu-HU" w:eastAsia="en-GB"/>
              </w:rPr>
            </w:pPr>
            <w:r>
              <w:rPr>
                <w:iCs/>
                <w:sz w:val="18"/>
                <w:szCs w:val="18"/>
                <w:lang w:val="hu-HU" w:eastAsia="en-GB"/>
              </w:rPr>
              <w:t>Lengyelország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hu-HU"/>
              </w:rPr>
            </w:pPr>
            <w:r>
              <w:rPr>
                <w:iCs/>
                <w:sz w:val="18"/>
                <w:szCs w:val="18"/>
                <w:lang w:val="hu-HU" w:eastAsia="en-GB"/>
              </w:rPr>
              <w:t>email: zakupy@inter-global.com.pl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 xml:space="preserve">Forgalmazó: </w:t>
            </w:r>
          </w:p>
          <w:p>
            <w:pPr>
              <w:pStyle w:val="Normal"/>
              <w:widowControl w:val="false"/>
              <w:rPr/>
            </w:pPr>
            <w:r>
              <w:rPr>
                <w:sz w:val="18"/>
                <w:szCs w:val="18"/>
                <w:lang w:val="hu-HU"/>
              </w:rPr>
              <w:t>Koreczor Trade Kft</w:t>
            </w:r>
          </w:p>
          <w:p>
            <w:pPr>
              <w:pStyle w:val="Normal"/>
              <w:widowControl w:val="false"/>
              <w:rPr/>
            </w:pPr>
            <w:r>
              <w:rPr>
                <w:sz w:val="18"/>
                <w:szCs w:val="18"/>
              </w:rPr>
              <w:t>3728, Kelemér Petőfi Sándor út 7</w:t>
            </w:r>
            <w:r>
              <w:rPr>
                <w:sz w:val="18"/>
                <w:szCs w:val="18"/>
              </w:rPr>
              <w:br/>
            </w:r>
            <w:r>
              <w:rPr>
                <w:sz w:val="18"/>
                <w:szCs w:val="18"/>
                <w:shd w:fill="FFFFFF" w:val="clear"/>
              </w:rPr>
              <w:t xml:space="preserve">Tel: +36 </w:t>
            </w:r>
            <w:r>
              <w:rPr>
                <w:sz w:val="18"/>
                <w:szCs w:val="18"/>
                <w:shd w:fill="FFFFFF" w:val="clear"/>
              </w:rPr>
              <w:t>202560028</w:t>
            </w:r>
          </w:p>
          <w:p>
            <w:pPr>
              <w:pStyle w:val="Normal"/>
              <w:widowControl w:val="false"/>
              <w:rPr/>
            </w:pPr>
            <w:r>
              <w:rPr>
                <w:sz w:val="18"/>
                <w:szCs w:val="18"/>
                <w:shd w:fill="FFFFFF" w:val="clear"/>
              </w:rPr>
              <w:t xml:space="preserve">email: </w:t>
            </w:r>
            <w:hyperlink r:id="rId2">
              <w:r>
                <w:rPr>
                  <w:rStyle w:val="Internethivatkozs"/>
                  <w:color w:val="auto"/>
                  <w:sz w:val="18"/>
                  <w:szCs w:val="18"/>
                  <w:u w:val="none"/>
                  <w:shd w:fill="FFFFFF" w:val="clear"/>
                </w:rPr>
                <w:t>info@</w:t>
              </w:r>
              <w:r>
                <w:rPr>
                  <w:rStyle w:val="Internethivatkozs"/>
                  <w:color w:val="auto"/>
                  <w:sz w:val="18"/>
                  <w:szCs w:val="18"/>
                  <w:u w:val="none"/>
                  <w:shd w:fill="FFFFFF" w:val="clear"/>
                </w:rPr>
                <w:t>v</w:t>
              </w:r>
            </w:hyperlink>
            <w:r>
              <w:rPr>
                <w:color w:val="auto"/>
                <w:sz w:val="18"/>
                <w:szCs w:val="18"/>
                <w:u w:val="none"/>
                <w:shd w:fill="FFFFFF" w:val="clear"/>
              </w:rPr>
              <w:t>erdaholmi.hu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</w:r>
          </w:p>
        </w:tc>
      </w:tr>
    </w:tbl>
    <w:p>
      <w:pPr>
        <w:pStyle w:val="Normal"/>
        <w:widowControl w:val="false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</w:r>
    </w:p>
    <w:tbl>
      <w:tblPr>
        <w:tblW w:w="9355" w:type="dxa"/>
        <w:jc w:val="left"/>
        <w:tblInd w:w="0" w:type="dxa"/>
        <w:tblCellMar>
          <w:top w:w="0" w:type="dxa"/>
          <w:left w:w="71" w:type="dxa"/>
          <w:bottom w:w="0" w:type="dxa"/>
          <w:right w:w="71" w:type="dxa"/>
        </w:tblCellMar>
        <w:tblLook w:firstRow="0" w:noVBand="0" w:lastRow="0" w:firstColumn="0" w:lastColumn="0" w:noHBand="0" w:val="0000"/>
      </w:tblPr>
      <w:tblGrid>
        <w:gridCol w:w="3472"/>
        <w:gridCol w:w="5882"/>
      </w:tblGrid>
      <w:tr>
        <w:trPr>
          <w:trHeight w:val="555" w:hRule="atLeast"/>
        </w:trPr>
        <w:tc>
          <w:tcPr>
            <w:tcW w:w="3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sz w:val="18"/>
                <w:szCs w:val="18"/>
                <w:lang w:val="hu-HU"/>
              </w:rPr>
            </w:pPr>
            <w:r>
              <w:rPr>
                <w:b/>
                <w:bCs/>
                <w:sz w:val="18"/>
                <w:szCs w:val="18"/>
                <w:lang w:val="hu-HU"/>
              </w:rPr>
              <w:t>1.4 Sürgősségi telefonszám:</w:t>
            </w:r>
          </w:p>
        </w:tc>
        <w:tc>
          <w:tcPr>
            <w:tcW w:w="5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auto" w:val="clear"/>
          </w:tcPr>
          <w:p>
            <w:pPr>
              <w:pStyle w:val="Normal"/>
              <w:tabs>
                <w:tab w:val="clear" w:pos="850"/>
                <w:tab w:val="left" w:pos="7650" w:leader="none"/>
              </w:tabs>
              <w:jc w:val="both"/>
              <w:rPr>
                <w:sz w:val="18"/>
                <w:szCs w:val="18"/>
                <w:lang w:val="hu-HU"/>
              </w:rPr>
            </w:pPr>
            <w:r>
              <w:rPr>
                <w:b/>
                <w:sz w:val="18"/>
                <w:szCs w:val="18"/>
                <w:lang w:val="hu-HU"/>
              </w:rPr>
              <w:t>Egészségügyi Toxikológiai Tájékoztató Szolgálat</w:t>
            </w:r>
            <w:r>
              <w:rPr>
                <w:sz w:val="18"/>
                <w:szCs w:val="18"/>
                <w:lang w:val="hu-HU"/>
              </w:rPr>
              <w:t>, 1097, Budapest, Nagyvárad tér 2.</w:t>
            </w:r>
          </w:p>
          <w:p>
            <w:pPr>
              <w:pStyle w:val="Normal"/>
              <w:tabs>
                <w:tab w:val="clear" w:pos="850"/>
                <w:tab w:val="left" w:pos="7650" w:leader="none"/>
              </w:tabs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 xml:space="preserve">Díjmentesen hívható zöld telefonszám: </w:t>
            </w:r>
            <w:r>
              <w:rPr>
                <w:b/>
                <w:sz w:val="18"/>
                <w:szCs w:val="18"/>
                <w:lang w:val="hu-HU"/>
              </w:rPr>
              <w:t>+36 80 20 11 99</w:t>
            </w:r>
            <w:r>
              <w:rPr>
                <w:sz w:val="18"/>
                <w:szCs w:val="18"/>
                <w:lang w:val="hu-HU"/>
              </w:rPr>
              <w:t xml:space="preserve"> (éjjel-nappal)</w:t>
            </w:r>
          </w:p>
        </w:tc>
      </w:tr>
    </w:tbl>
    <w:p>
      <w:pPr>
        <w:pStyle w:val="Normal"/>
        <w:widowControl w:val="false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</w:r>
    </w:p>
    <w:tbl>
      <w:tblPr>
        <w:tblW w:w="9360" w:type="dxa"/>
        <w:jc w:val="left"/>
        <w:tblInd w:w="0" w:type="dxa"/>
        <w:tblCellMar>
          <w:top w:w="0" w:type="dxa"/>
          <w:left w:w="71" w:type="dxa"/>
          <w:bottom w:w="0" w:type="dxa"/>
          <w:right w:w="71" w:type="dxa"/>
        </w:tblCellMar>
        <w:tblLook w:firstRow="0" w:noVBand="0" w:lastRow="0" w:firstColumn="0" w:lastColumn="0" w:noHBand="0" w:val="0000"/>
      </w:tblPr>
      <w:tblGrid>
        <w:gridCol w:w="9360"/>
      </w:tblGrid>
      <w:tr>
        <w:trPr/>
        <w:tc>
          <w:tcPr>
            <w:tcW w:w="9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MS Sans Serif" w:hAnsi="MS Sans Serif" w:cs="MS Sans Serif"/>
                <w:lang w:val="hu-HU"/>
              </w:rPr>
            </w:pPr>
            <w:r>
              <w:rPr>
                <w:b/>
                <w:bCs/>
                <w:color w:val="000000"/>
                <w:sz w:val="18"/>
                <w:szCs w:val="18"/>
                <w:lang w:val="hu-HU"/>
              </w:rPr>
              <w:t>2. SZAKASZ: A veszély azonosítása</w:t>
            </w:r>
          </w:p>
        </w:tc>
      </w:tr>
    </w:tbl>
    <w:p>
      <w:pPr>
        <w:pStyle w:val="Normal"/>
        <w:widowControl w:val="false"/>
        <w:jc w:val="both"/>
        <w:rPr>
          <w:color w:val="000000"/>
          <w:sz w:val="16"/>
          <w:szCs w:val="16"/>
          <w:lang w:val="hu-HU"/>
        </w:rPr>
      </w:pPr>
      <w:r>
        <w:rPr>
          <w:color w:val="000000"/>
          <w:sz w:val="16"/>
          <w:szCs w:val="16"/>
          <w:lang w:val="hu-HU"/>
        </w:rPr>
      </w:r>
    </w:p>
    <w:tbl>
      <w:tblPr>
        <w:tblW w:w="9354" w:type="dxa"/>
        <w:jc w:val="left"/>
        <w:tblInd w:w="0" w:type="dxa"/>
        <w:tblCellMar>
          <w:top w:w="0" w:type="dxa"/>
          <w:left w:w="71" w:type="dxa"/>
          <w:bottom w:w="0" w:type="dxa"/>
          <w:right w:w="71" w:type="dxa"/>
        </w:tblCellMar>
        <w:tblLook w:firstRow="0" w:noVBand="0" w:lastRow="0" w:firstColumn="0" w:lastColumn="0" w:noHBand="0" w:val="0000"/>
      </w:tblPr>
      <w:tblGrid>
        <w:gridCol w:w="9284"/>
        <w:gridCol w:w="69"/>
      </w:tblGrid>
      <w:tr>
        <w:trPr>
          <w:trHeight w:val="914" w:hRule="atLeast"/>
        </w:trPr>
        <w:tc>
          <w:tcPr>
            <w:tcW w:w="9353" w:type="dxa"/>
            <w:gridSpan w:val="2"/>
            <w:tcBorders/>
            <w:shd w:fill="auto" w:val="clear"/>
          </w:tcPr>
          <w:p>
            <w:pPr>
              <w:pStyle w:val="Normal"/>
              <w:jc w:val="both"/>
              <w:rPr>
                <w:b/>
                <w:b/>
                <w:sz w:val="18"/>
                <w:szCs w:val="18"/>
                <w:lang w:val="hu-HU"/>
              </w:rPr>
            </w:pPr>
            <w:r>
              <w:rPr>
                <w:b/>
                <w:sz w:val="18"/>
                <w:szCs w:val="18"/>
                <w:lang w:val="hu-HU"/>
              </w:rPr>
              <w:t>2.1 Az anyag vagy keverék osztályozása: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</w:r>
          </w:p>
          <w:p>
            <w:pPr>
              <w:pStyle w:val="Normal"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Az 1272/2008/EK (CLP) rendelet előírásai szerint: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Eye Dam. 1, H318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Skin Irrit. 2, H315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</w:r>
          </w:p>
        </w:tc>
      </w:tr>
      <w:tr>
        <w:trPr>
          <w:trHeight w:val="4446" w:hRule="exact"/>
        </w:trPr>
        <w:tc>
          <w:tcPr>
            <w:tcW w:w="9284" w:type="dxa"/>
            <w:tcBorders/>
            <w:shd w:fill="auto" w:val="clear"/>
          </w:tcPr>
          <w:p>
            <w:pPr>
              <w:pStyle w:val="Normal"/>
              <w:widowControl w:val="false"/>
              <w:jc w:val="both"/>
              <w:rPr>
                <w:b/>
                <w:b/>
                <w:sz w:val="18"/>
                <w:szCs w:val="18"/>
                <w:lang w:val="hu-HU"/>
              </w:rPr>
            </w:pPr>
            <w:r>
              <w:rPr>
                <w:b/>
                <w:sz w:val="18"/>
                <w:szCs w:val="18"/>
                <w:lang w:val="hu-HU"/>
              </w:rPr>
              <w:t xml:space="preserve">2.2. Címkézési elemek:   </w:t>
            </w:r>
          </w:p>
          <w:p>
            <w:pPr>
              <w:pStyle w:val="Normal"/>
              <w:widowControl w:val="false"/>
              <w:jc w:val="both"/>
              <w:rPr>
                <w:b/>
                <w:b/>
                <w:sz w:val="18"/>
                <w:szCs w:val="18"/>
                <w:lang w:val="hu-HU"/>
              </w:rPr>
            </w:pPr>
            <w:r>
              <w:rPr>
                <w:b/>
                <w:sz w:val="18"/>
                <w:szCs w:val="18"/>
                <w:lang w:val="hu-HU"/>
              </w:rPr>
            </w:r>
          </w:p>
          <w:p>
            <w:pPr>
              <w:pStyle w:val="Normal"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Az 1272/2008/EK (CLP) rendelet előírásai szerint: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hu-HU"/>
              </w:rPr>
            </w:pPr>
            <w:r>
              <w:rPr/>
              <w:drawing>
                <wp:inline distT="0" distB="0" distL="0" distR="0">
                  <wp:extent cx="742950" cy="679450"/>
                  <wp:effectExtent l="0" t="0" r="0" b="0"/>
                  <wp:docPr id="1" name="Kép 5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Kép 5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679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  <w:szCs w:val="18"/>
                <w:lang w:val="hu-HU"/>
              </w:rPr>
              <w:t xml:space="preserve"> 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Veszély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 xml:space="preserve">H315 </w:t>
            </w:r>
            <w:r>
              <w:rPr>
                <w:sz w:val="18"/>
                <w:szCs w:val="18"/>
                <w:shd w:fill="FFFFFF" w:val="clear"/>
              </w:rPr>
              <w:t>Bőrirritáló hatású.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 xml:space="preserve">H318 </w:t>
            </w:r>
            <w:r>
              <w:rPr>
                <w:sz w:val="18"/>
                <w:szCs w:val="18"/>
                <w:shd w:fill="FFFFFF" w:val="clear"/>
              </w:rPr>
              <w:t>Súlyos szemkárosodást okoz.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 xml:space="preserve">P101 </w:t>
            </w:r>
            <w:r>
              <w:rPr>
                <w:sz w:val="18"/>
                <w:szCs w:val="18"/>
                <w:shd w:fill="FFFFFF" w:val="clear"/>
              </w:rPr>
              <w:t>Orvosi tanácsadás esetén tartsa kéznél a termék edényét vagy címkéjét.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 xml:space="preserve">P102 </w:t>
            </w:r>
            <w:r>
              <w:rPr>
                <w:sz w:val="18"/>
                <w:szCs w:val="18"/>
                <w:shd w:fill="FFFFFF" w:val="clear"/>
              </w:rPr>
              <w:t>Gyermekektől elzárva tartandó.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 xml:space="preserve">P280 </w:t>
            </w:r>
            <w:r>
              <w:rPr>
                <w:sz w:val="18"/>
                <w:szCs w:val="18"/>
                <w:shd w:fill="FFFFFF" w:val="clear"/>
              </w:rPr>
              <w:t>Szemvédő/arcvédő használata kötelező.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 xml:space="preserve">P264 </w:t>
            </w:r>
            <w:r>
              <w:rPr>
                <w:sz w:val="18"/>
                <w:szCs w:val="18"/>
                <w:shd w:fill="FFFFFF" w:val="clear"/>
              </w:rPr>
              <w:t>A használatot követően a kezet alaposan meg kell mosni.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 xml:space="preserve">P305+P351+P338 </w:t>
            </w:r>
            <w:r>
              <w:rPr>
                <w:sz w:val="18"/>
                <w:szCs w:val="18"/>
                <w:shd w:fill="FFFFFF" w:val="clear"/>
              </w:rPr>
              <w:t>SZEMBE KERÜLÉS esetén: Több percig tartó óvatos öblítés vízzel. Adott esetben a kontaktlencsék eltávolítása, ha könnyen megoldható. Az öblítés folytatása.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 xml:space="preserve">P302+P352 </w:t>
            </w:r>
            <w:r>
              <w:rPr>
                <w:sz w:val="18"/>
                <w:szCs w:val="18"/>
                <w:shd w:fill="FFFFFF" w:val="clear"/>
              </w:rPr>
              <w:t>HA BŐRRE KERÜL: Lemosás bő szappanos vízzel.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 xml:space="preserve">P501 </w:t>
            </w:r>
            <w:r>
              <w:rPr>
                <w:sz w:val="18"/>
                <w:szCs w:val="18"/>
                <w:shd w:fill="FFFFFF" w:val="clear"/>
              </w:rPr>
              <w:t>A tartalom/edény elhelyezése hulladékként: országos előírásoknak megfelelően.</w:t>
            </w:r>
          </w:p>
          <w:p>
            <w:pPr>
              <w:pStyle w:val="Normal"/>
              <w:widowControl w:val="false"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</w:r>
          </w:p>
        </w:tc>
        <w:tc>
          <w:tcPr>
            <w:tcW w:w="69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trHeight w:val="1062" w:hRule="exact"/>
        </w:trPr>
        <w:tc>
          <w:tcPr>
            <w:tcW w:w="9284" w:type="dxa"/>
            <w:tcBorders/>
            <w:shd w:fill="auto" w:val="clear"/>
          </w:tcPr>
          <w:p>
            <w:pPr>
              <w:pStyle w:val="Normal"/>
              <w:widowControl w:val="false"/>
              <w:jc w:val="both"/>
              <w:rPr>
                <w:b/>
                <w:b/>
                <w:sz w:val="18"/>
                <w:szCs w:val="18"/>
                <w:lang w:val="hu-HU"/>
              </w:rPr>
            </w:pPr>
            <w:r>
              <w:rPr>
                <w:b/>
                <w:sz w:val="18"/>
                <w:szCs w:val="18"/>
                <w:lang w:val="hu-HU"/>
              </w:rPr>
              <w:t xml:space="preserve">2.3 Egyéb veszélyek: </w:t>
            </w:r>
          </w:p>
          <w:p>
            <w:pPr>
              <w:pStyle w:val="Normal"/>
              <w:widowControl w:val="false"/>
              <w:rPr>
                <w:b/>
                <w:b/>
                <w:sz w:val="18"/>
                <w:szCs w:val="18"/>
                <w:lang w:val="hu-HU"/>
              </w:rPr>
            </w:pPr>
            <w:r>
              <w:rPr>
                <w:b/>
                <w:sz w:val="18"/>
                <w:szCs w:val="18"/>
                <w:lang w:val="hu-HU"/>
              </w:rPr>
            </w:r>
          </w:p>
          <w:p>
            <w:pPr>
              <w:pStyle w:val="Normal"/>
              <w:widowControl w:val="false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PBT, vPvB értékelés eredménye:</w:t>
              <w:br/>
              <w:t>PBT: Nem alkalmazandó</w:t>
            </w:r>
          </w:p>
          <w:p>
            <w:pPr>
              <w:pStyle w:val="Normal"/>
              <w:widowControl w:val="false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vPvB: Nem alkalmazandó</w:t>
            </w:r>
          </w:p>
        </w:tc>
        <w:tc>
          <w:tcPr>
            <w:tcW w:w="69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</w:tr>
    </w:tbl>
    <w:p>
      <w:pPr>
        <w:pStyle w:val="Normal"/>
        <w:widowControl w:val="false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</w:r>
    </w:p>
    <w:tbl>
      <w:tblPr>
        <w:tblW w:w="9360" w:type="dxa"/>
        <w:jc w:val="left"/>
        <w:tblInd w:w="0" w:type="dxa"/>
        <w:tblCellMar>
          <w:top w:w="0" w:type="dxa"/>
          <w:left w:w="71" w:type="dxa"/>
          <w:bottom w:w="0" w:type="dxa"/>
          <w:right w:w="71" w:type="dxa"/>
        </w:tblCellMar>
        <w:tblLook w:firstRow="0" w:noVBand="0" w:lastRow="0" w:firstColumn="0" w:lastColumn="0" w:noHBand="0" w:val="0000"/>
      </w:tblPr>
      <w:tblGrid>
        <w:gridCol w:w="9360"/>
      </w:tblGrid>
      <w:tr>
        <w:trPr/>
        <w:tc>
          <w:tcPr>
            <w:tcW w:w="9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MS Sans Serif" w:hAnsi="MS Sans Serif" w:cs="MS Sans Serif"/>
                <w:lang w:val="hu-HU"/>
              </w:rPr>
            </w:pPr>
            <w:r>
              <w:rPr>
                <w:b/>
                <w:bCs/>
                <w:color w:val="000000"/>
                <w:sz w:val="18"/>
                <w:szCs w:val="18"/>
                <w:lang w:val="hu-HU"/>
              </w:rPr>
              <w:t>3. SZAKASZ: Összetétel vagy az összetevőkre vonatkozó információk</w:t>
            </w:r>
          </w:p>
        </w:tc>
      </w:tr>
    </w:tbl>
    <w:p>
      <w:pPr>
        <w:pStyle w:val="Normal"/>
        <w:widowControl w:val="false"/>
        <w:jc w:val="center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</w:r>
    </w:p>
    <w:p>
      <w:pPr>
        <w:pStyle w:val="Western"/>
        <w:tabs>
          <w:tab w:val="clear" w:pos="850"/>
          <w:tab w:val="left" w:pos="9143" w:leader="none"/>
        </w:tabs>
        <w:spacing w:before="0" w:after="0"/>
        <w:ind w:right="1355" w:hanging="0"/>
        <w:jc w:val="both"/>
        <w:rPr>
          <w:b/>
          <w:b/>
          <w:color w:val="000000"/>
          <w:sz w:val="18"/>
          <w:szCs w:val="18"/>
          <w:lang w:val="hu-HU"/>
        </w:rPr>
      </w:pPr>
      <w:r>
        <w:rPr>
          <w:b/>
          <w:color w:val="000000"/>
          <w:sz w:val="18"/>
          <w:szCs w:val="18"/>
          <w:lang w:val="hu-HU"/>
        </w:rPr>
        <w:t xml:space="preserve">3.2. Keverékek: </w:t>
      </w:r>
    </w:p>
    <w:tbl>
      <w:tblPr>
        <w:tblW w:w="9018" w:type="dxa"/>
        <w:jc w:val="left"/>
        <w:tblInd w:w="0" w:type="dxa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3188"/>
        <w:gridCol w:w="1247"/>
        <w:gridCol w:w="1497"/>
        <w:gridCol w:w="1141"/>
        <w:gridCol w:w="1945"/>
      </w:tblGrid>
      <w:tr>
        <w:trPr>
          <w:trHeight w:val="352" w:hRule="atLeast"/>
        </w:trPr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fej"/>
              <w:tabs>
                <w:tab w:val="clear" w:pos="4536"/>
                <w:tab w:val="clear" w:pos="9072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Megnevezés/</w:t>
            </w:r>
          </w:p>
          <w:p>
            <w:pPr>
              <w:pStyle w:val="Lfej"/>
              <w:tabs>
                <w:tab w:val="clear" w:pos="4536"/>
                <w:tab w:val="clear" w:pos="9072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REACH reg. szám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msor1"/>
              <w:tabs>
                <w:tab w:val="clear" w:pos="850"/>
                <w:tab w:val="left" w:pos="0" w:leader="none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18"/>
                <w:szCs w:val="18"/>
              </w:rPr>
              <w:t>CAS-szám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EK-szám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Koncentráció tartomány </w:t>
            </w:r>
          </w:p>
          <w:p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(%-ban)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Besorolás</w:t>
            </w:r>
          </w:p>
        </w:tc>
      </w:tr>
      <w:tr>
        <w:trPr>
          <w:trHeight w:val="443" w:hRule="atLeast"/>
        </w:trPr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fej"/>
              <w:rPr>
                <w:color w:val="000000"/>
                <w:sz w:val="18"/>
                <w:szCs w:val="18"/>
                <w:highlight w:val="white"/>
              </w:rPr>
            </w:pPr>
            <w:r>
              <w:rPr>
                <w:color w:val="000000"/>
                <w:sz w:val="18"/>
                <w:szCs w:val="18"/>
                <w:shd w:fill="FFFFFF" w:val="clear"/>
              </w:rPr>
              <w:t>Tetranátrium-etilén-diamin-tetraacetát/</w:t>
            </w:r>
          </w:p>
          <w:p>
            <w:pPr>
              <w:pStyle w:val="Lfej"/>
              <w:rPr>
                <w:sz w:val="18"/>
                <w:szCs w:val="18"/>
              </w:rPr>
            </w:pPr>
            <w:r>
              <w:rPr>
                <w:iCs/>
                <w:sz w:val="18"/>
                <w:szCs w:val="18"/>
                <w:lang w:val="hu-HU" w:eastAsia="en-GB"/>
              </w:rPr>
              <w:t>01-2119486762-27-XXXX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fej"/>
              <w:tabs>
                <w:tab w:val="clear" w:pos="4536"/>
                <w:tab w:val="clear" w:pos="9072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64-02-8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fej"/>
              <w:tabs>
                <w:tab w:val="clear" w:pos="4536"/>
                <w:tab w:val="clear" w:pos="9072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200-573-9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sz w:val="18"/>
                <w:szCs w:val="18"/>
              </w:rPr>
            </w:pPr>
            <w:r>
              <w:rPr>
                <w:iCs/>
                <w:sz w:val="18"/>
                <w:szCs w:val="18"/>
                <w:lang w:val="hu-HU" w:eastAsia="en-GB"/>
              </w:rPr>
              <w:t>2,5  - &lt;10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iCs/>
                <w:sz w:val="18"/>
                <w:szCs w:val="18"/>
                <w:lang w:val="hu-HU" w:eastAsia="en-GB"/>
              </w:rPr>
            </w:pPr>
            <w:r>
              <w:rPr>
                <w:iCs/>
                <w:sz w:val="18"/>
                <w:szCs w:val="18"/>
                <w:lang w:val="hu-HU" w:eastAsia="en-GB"/>
              </w:rPr>
              <w:t xml:space="preserve">Eye Dam. 1, H318 </w:t>
            </w:r>
          </w:p>
          <w:p>
            <w:pPr>
              <w:pStyle w:val="Normal"/>
              <w:rPr>
                <w:iCs/>
                <w:sz w:val="18"/>
                <w:szCs w:val="18"/>
                <w:lang w:val="hu-HU" w:eastAsia="en-GB"/>
              </w:rPr>
            </w:pPr>
            <w:r>
              <w:rPr>
                <w:iCs/>
                <w:sz w:val="18"/>
                <w:szCs w:val="18"/>
                <w:lang w:val="hu-HU" w:eastAsia="en-GB"/>
              </w:rPr>
              <w:t>Acute Tox. 4, H302</w:t>
            </w:r>
          </w:p>
        </w:tc>
      </w:tr>
      <w:tr>
        <w:trPr>
          <w:trHeight w:val="443" w:hRule="atLeast"/>
        </w:trPr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fej"/>
              <w:rPr>
                <w:iCs/>
                <w:sz w:val="18"/>
                <w:szCs w:val="18"/>
                <w:lang w:val="hu-HU" w:eastAsia="en-GB"/>
              </w:rPr>
            </w:pPr>
            <w:r>
              <w:rPr>
                <w:iCs/>
                <w:sz w:val="18"/>
                <w:szCs w:val="18"/>
                <w:lang w:val="hu-HU" w:eastAsia="en-GB"/>
              </w:rPr>
              <w:t>D-Glucopyranose, oligomeric, C8-10 glycosides/</w:t>
            </w:r>
          </w:p>
          <w:p>
            <w:pPr>
              <w:pStyle w:val="Lfej"/>
              <w:rPr>
                <w:iCs/>
                <w:sz w:val="18"/>
                <w:szCs w:val="18"/>
                <w:lang w:val="hu-HU" w:eastAsia="en-GB"/>
              </w:rPr>
            </w:pPr>
            <w:r>
              <w:rPr>
                <w:iCs/>
                <w:sz w:val="18"/>
                <w:szCs w:val="18"/>
                <w:lang w:val="hu-HU" w:eastAsia="en-GB"/>
              </w:rPr>
              <w:t>01-21194888530-36-XXXX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fej"/>
              <w:tabs>
                <w:tab w:val="clear" w:pos="4536"/>
                <w:tab w:val="clear" w:pos="9072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68515-73-1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fej"/>
              <w:tabs>
                <w:tab w:val="clear" w:pos="4536"/>
                <w:tab w:val="clear" w:pos="9072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500-220-1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sz w:val="18"/>
                <w:szCs w:val="18"/>
              </w:rPr>
            </w:pPr>
            <w:r>
              <w:rPr>
                <w:iCs/>
                <w:sz w:val="18"/>
                <w:szCs w:val="18"/>
                <w:lang w:val="hu-HU" w:eastAsia="en-GB"/>
              </w:rPr>
              <w:t>2,5 - &lt;10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sz w:val="18"/>
                <w:szCs w:val="18"/>
              </w:rPr>
            </w:pPr>
            <w:r>
              <w:rPr>
                <w:iCs/>
                <w:sz w:val="18"/>
                <w:szCs w:val="18"/>
                <w:lang w:val="hu-HU" w:eastAsia="en-GB"/>
              </w:rPr>
              <w:t>Eye Dam. 1, H318</w:t>
            </w:r>
          </w:p>
        </w:tc>
      </w:tr>
      <w:tr>
        <w:trPr>
          <w:trHeight w:val="443" w:hRule="atLeast"/>
        </w:trPr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fej"/>
              <w:rPr>
                <w:iCs/>
                <w:sz w:val="18"/>
                <w:szCs w:val="18"/>
                <w:lang w:val="hu-HU" w:eastAsia="en-GB"/>
              </w:rPr>
            </w:pPr>
            <w:r>
              <w:rPr>
                <w:iCs/>
                <w:sz w:val="18"/>
                <w:szCs w:val="18"/>
                <w:lang w:val="hu-HU" w:eastAsia="en-GB"/>
              </w:rPr>
              <w:t>Alcohols, C12-15, ethoxylated, sulfates, sodium salts/</w:t>
            </w:r>
          </w:p>
          <w:p>
            <w:pPr>
              <w:pStyle w:val="Lfej"/>
              <w:rPr>
                <w:sz w:val="18"/>
                <w:szCs w:val="18"/>
              </w:rPr>
            </w:pPr>
            <w:r>
              <w:rPr>
                <w:iCs/>
                <w:sz w:val="18"/>
                <w:szCs w:val="18"/>
                <w:lang w:val="hu-HU" w:eastAsia="en-GB"/>
              </w:rPr>
              <w:t>polimer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fej"/>
              <w:tabs>
                <w:tab w:val="clear" w:pos="4536"/>
                <w:tab w:val="clear" w:pos="9072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125301-92-0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fej"/>
              <w:tabs>
                <w:tab w:val="clear" w:pos="4536"/>
                <w:tab w:val="clear" w:pos="9072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sz w:val="18"/>
                <w:szCs w:val="18"/>
              </w:rPr>
            </w:pPr>
            <w:r>
              <w:rPr>
                <w:iCs/>
                <w:sz w:val="18"/>
                <w:szCs w:val="18"/>
                <w:lang w:val="hu-HU" w:eastAsia="en-GB"/>
              </w:rPr>
              <w:t>2,5 - &lt;10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iCs/>
                <w:sz w:val="18"/>
                <w:szCs w:val="18"/>
                <w:lang w:val="hu-HU" w:eastAsia="en-GB"/>
              </w:rPr>
            </w:pPr>
            <w:r>
              <w:rPr>
                <w:iCs/>
                <w:sz w:val="18"/>
                <w:szCs w:val="18"/>
                <w:lang w:val="hu-HU" w:eastAsia="en-GB"/>
              </w:rPr>
              <w:t xml:space="preserve">Eye Dam. 1, H318 </w:t>
            </w:r>
          </w:p>
          <w:p>
            <w:pPr>
              <w:pStyle w:val="Normal"/>
              <w:rPr>
                <w:sz w:val="18"/>
                <w:szCs w:val="18"/>
              </w:rPr>
            </w:pPr>
            <w:r>
              <w:rPr>
                <w:iCs/>
                <w:sz w:val="18"/>
                <w:szCs w:val="18"/>
                <w:lang w:val="hu-HU" w:eastAsia="en-GB"/>
              </w:rPr>
              <w:t>Skin Irrit. 2, H315</w:t>
            </w:r>
          </w:p>
        </w:tc>
      </w:tr>
      <w:tr>
        <w:trPr>
          <w:trHeight w:val="443" w:hRule="atLeast"/>
        </w:trPr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fej"/>
              <w:rPr>
                <w:iCs/>
                <w:sz w:val="18"/>
                <w:szCs w:val="18"/>
                <w:lang w:val="hu-HU" w:eastAsia="en-GB"/>
              </w:rPr>
            </w:pPr>
            <w:r>
              <w:rPr>
                <w:iCs/>
                <w:sz w:val="18"/>
                <w:szCs w:val="18"/>
                <w:lang w:val="hu-HU" w:eastAsia="en-GB"/>
              </w:rPr>
              <w:t>Alcohols, C9-C11 ethoxylated/</w:t>
            </w:r>
          </w:p>
          <w:p>
            <w:pPr>
              <w:pStyle w:val="Lfej"/>
              <w:rPr>
                <w:iCs/>
                <w:sz w:val="18"/>
                <w:szCs w:val="18"/>
                <w:lang w:val="hu-HU" w:eastAsia="en-GB"/>
              </w:rPr>
            </w:pPr>
            <w:r>
              <w:rPr>
                <w:iCs/>
                <w:sz w:val="18"/>
                <w:szCs w:val="18"/>
                <w:lang w:val="hu-HU" w:eastAsia="en-GB"/>
              </w:rPr>
              <w:t>01-2119980051-45-XXXX</w:t>
            </w:r>
          </w:p>
          <w:p>
            <w:pPr>
              <w:pStyle w:val="Lfej"/>
              <w:rPr>
                <w:sz w:val="18"/>
                <w:szCs w:val="18"/>
              </w:rPr>
            </w:pPr>
            <w:r>
              <w:rPr>
                <w:iCs/>
                <w:sz w:val="18"/>
                <w:szCs w:val="18"/>
                <w:lang w:val="hu-HU" w:eastAsia="en-GB"/>
              </w:rPr>
              <w:t>polimer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fej"/>
              <w:tabs>
                <w:tab w:val="clear" w:pos="4536"/>
                <w:tab w:val="clear" w:pos="9072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68439-46-3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fej"/>
              <w:tabs>
                <w:tab w:val="clear" w:pos="4536"/>
                <w:tab w:val="clear" w:pos="9072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1 - ≤2,5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iCs/>
                <w:sz w:val="18"/>
                <w:szCs w:val="18"/>
                <w:lang w:val="hu-HU" w:eastAsia="en-GB"/>
              </w:rPr>
            </w:pPr>
            <w:r>
              <w:rPr>
                <w:iCs/>
                <w:sz w:val="18"/>
                <w:szCs w:val="18"/>
                <w:lang w:val="hu-HU" w:eastAsia="en-GB"/>
              </w:rPr>
              <w:t xml:space="preserve">Eye Dam. 1, H318 </w:t>
            </w:r>
          </w:p>
          <w:p>
            <w:pPr>
              <w:pStyle w:val="Normal"/>
              <w:rPr>
                <w:sz w:val="18"/>
                <w:szCs w:val="18"/>
              </w:rPr>
            </w:pPr>
            <w:r>
              <w:rPr>
                <w:iCs/>
                <w:sz w:val="18"/>
                <w:szCs w:val="18"/>
                <w:lang w:val="hu-HU" w:eastAsia="en-GB"/>
              </w:rPr>
              <w:t>Skin Irrit. 2, H315</w:t>
            </w:r>
          </w:p>
        </w:tc>
      </w:tr>
      <w:tr>
        <w:trPr>
          <w:trHeight w:val="443" w:hRule="atLeast"/>
        </w:trPr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fej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Nátrium-hidroxid/</w:t>
            </w:r>
          </w:p>
          <w:p>
            <w:pPr>
              <w:pStyle w:val="Lfej"/>
              <w:rPr>
                <w:sz w:val="18"/>
                <w:szCs w:val="18"/>
              </w:rPr>
            </w:pPr>
            <w:r>
              <w:rPr>
                <w:iCs/>
                <w:sz w:val="18"/>
                <w:szCs w:val="18"/>
                <w:lang w:val="hu-HU" w:eastAsia="en-GB"/>
              </w:rPr>
              <w:t>01-2119457892-27-XXXX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fej"/>
              <w:tabs>
                <w:tab w:val="clear" w:pos="4536"/>
                <w:tab w:val="clear" w:pos="9072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1310-73-2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fej"/>
              <w:tabs>
                <w:tab w:val="clear" w:pos="4536"/>
                <w:tab w:val="clear" w:pos="9072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215-185-5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0,5 - &lt;2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iCs/>
                <w:sz w:val="18"/>
                <w:szCs w:val="18"/>
                <w:lang w:val="hu-HU" w:eastAsia="en-GB"/>
              </w:rPr>
            </w:pPr>
            <w:r>
              <w:rPr>
                <w:iCs/>
                <w:sz w:val="18"/>
                <w:szCs w:val="18"/>
                <w:lang w:val="hu-HU" w:eastAsia="en-GB"/>
              </w:rPr>
              <w:t xml:space="preserve">Met. Corr.1, H290 </w:t>
            </w:r>
          </w:p>
          <w:p>
            <w:pPr>
              <w:pStyle w:val="Normal"/>
              <w:rPr>
                <w:sz w:val="18"/>
                <w:szCs w:val="18"/>
              </w:rPr>
            </w:pPr>
            <w:r>
              <w:rPr>
                <w:iCs/>
                <w:sz w:val="18"/>
                <w:szCs w:val="18"/>
                <w:lang w:val="hu-HU" w:eastAsia="en-GB"/>
              </w:rPr>
              <w:t>Skin Corr. 1A, H314</w:t>
            </w:r>
          </w:p>
        </w:tc>
      </w:tr>
      <w:tr>
        <w:trPr>
          <w:trHeight w:val="443" w:hRule="atLeast"/>
        </w:trPr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fej"/>
              <w:rPr>
                <w:iCs/>
                <w:sz w:val="18"/>
                <w:szCs w:val="18"/>
                <w:lang w:val="hu-HU" w:eastAsia="en-GB"/>
              </w:rPr>
            </w:pPr>
            <w:r>
              <w:rPr>
                <w:iCs/>
                <w:sz w:val="18"/>
                <w:szCs w:val="18"/>
                <w:lang w:val="hu-HU" w:eastAsia="en-GB"/>
              </w:rPr>
              <w:t>Hexyl D-glucoside/</w:t>
            </w:r>
          </w:p>
          <w:p>
            <w:pPr>
              <w:pStyle w:val="Lfej"/>
              <w:rPr>
                <w:sz w:val="18"/>
                <w:szCs w:val="18"/>
              </w:rPr>
            </w:pPr>
            <w:r>
              <w:rPr>
                <w:iCs/>
                <w:sz w:val="18"/>
                <w:szCs w:val="18"/>
                <w:lang w:val="hu-HU" w:eastAsia="en-GB"/>
              </w:rPr>
              <w:t>01-2119492545-29-XXXX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fej"/>
              <w:tabs>
                <w:tab w:val="clear" w:pos="4536"/>
                <w:tab w:val="clear" w:pos="9072"/>
              </w:tabs>
              <w:rPr>
                <w:sz w:val="18"/>
                <w:szCs w:val="18"/>
              </w:rPr>
            </w:pPr>
            <w:r>
              <w:rPr>
                <w:iCs/>
                <w:sz w:val="18"/>
                <w:szCs w:val="18"/>
                <w:lang w:val="hu-HU" w:eastAsia="en-GB"/>
              </w:rPr>
              <w:t>54549-24-5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fej"/>
              <w:tabs>
                <w:tab w:val="clear" w:pos="4536"/>
                <w:tab w:val="clear" w:pos="9072"/>
              </w:tabs>
              <w:rPr>
                <w:sz w:val="18"/>
                <w:szCs w:val="18"/>
              </w:rPr>
            </w:pPr>
            <w:r>
              <w:rPr>
                <w:iCs/>
                <w:sz w:val="18"/>
                <w:szCs w:val="18"/>
                <w:lang w:val="hu-HU" w:eastAsia="en-GB"/>
              </w:rPr>
              <w:t>259-217-6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1 - ≤2,5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sz w:val="18"/>
                <w:szCs w:val="18"/>
              </w:rPr>
            </w:pPr>
            <w:r>
              <w:rPr>
                <w:iCs/>
                <w:sz w:val="18"/>
                <w:szCs w:val="18"/>
                <w:lang w:val="hu-HU" w:eastAsia="en-GB"/>
              </w:rPr>
              <w:t>Eye Dam. 1, H318</w:t>
            </w:r>
          </w:p>
        </w:tc>
      </w:tr>
    </w:tbl>
    <w:p>
      <w:pPr>
        <w:pStyle w:val="Western"/>
        <w:tabs>
          <w:tab w:val="clear" w:pos="850"/>
          <w:tab w:val="left" w:pos="9072" w:leader="none"/>
        </w:tabs>
        <w:spacing w:beforeAutospacing="0" w:before="0" w:after="0"/>
        <w:ind w:right="-74" w:hanging="0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  <w:t>A H-mondatok teljes szövegét lásd a 16. szakaszban.</w:t>
      </w:r>
    </w:p>
    <w:p>
      <w:pPr>
        <w:pStyle w:val="Western"/>
        <w:tabs>
          <w:tab w:val="clear" w:pos="850"/>
          <w:tab w:val="left" w:pos="9072" w:leader="none"/>
        </w:tabs>
        <w:spacing w:beforeAutospacing="0" w:before="0" w:after="0"/>
        <w:ind w:right="-74" w:hanging="0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</w:r>
    </w:p>
    <w:p>
      <w:pPr>
        <w:pStyle w:val="Normal"/>
        <w:rPr/>
      </w:pPr>
      <w:r>
        <w:rPr/>
      </w:r>
    </w:p>
    <w:p>
      <w:pPr>
        <w:pStyle w:val="Normal"/>
        <w:widowControl w:val="false"/>
        <w:jc w:val="center"/>
        <w:rPr>
          <w:rFonts w:ascii="MS Sans Serif" w:hAnsi="MS Sans Serif" w:cs="MS Sans Serif"/>
          <w:lang w:val="hu-HU"/>
        </w:rPr>
      </w:pPr>
      <w:r>
        <w:rPr>
          <w:b/>
          <w:bCs/>
          <w:color w:val="000000"/>
          <w:sz w:val="18"/>
          <w:szCs w:val="18"/>
          <w:lang w:val="hu-HU"/>
        </w:rPr>
        <w:t>4. SZAKASZ: Elsősegély-nyújtási intézkedések</w:t>
      </w:r>
    </w:p>
    <w:p>
      <w:pPr>
        <w:pStyle w:val="Normal"/>
        <w:widowControl w:val="false"/>
        <w:jc w:val="center"/>
        <w:rPr>
          <w:b/>
          <w:b/>
          <w:bCs/>
          <w:color w:val="000000"/>
          <w:sz w:val="18"/>
          <w:szCs w:val="18"/>
          <w:lang w:val="hu-HU"/>
        </w:rPr>
      </w:pPr>
      <w:r>
        <w:rPr>
          <w:b/>
          <w:bCs/>
          <w:color w:val="000000"/>
          <w:sz w:val="18"/>
          <w:szCs w:val="18"/>
          <w:lang w:val="hu-HU"/>
        </w:rPr>
      </w:r>
    </w:p>
    <w:p>
      <w:pPr>
        <w:pStyle w:val="Normal"/>
        <w:widowControl w:val="false"/>
        <w:jc w:val="center"/>
        <w:rPr>
          <w:b/>
          <w:b/>
          <w:bCs/>
          <w:color w:val="000000"/>
          <w:sz w:val="18"/>
          <w:szCs w:val="18"/>
          <w:lang w:val="hu-HU"/>
        </w:rPr>
      </w:pPr>
      <w:r>
        <w:rPr>
          <w:b/>
          <w:bCs/>
          <w:color w:val="000000"/>
          <w:sz w:val="18"/>
          <w:szCs w:val="18"/>
          <w:lang w:val="hu-HU"/>
        </w:rPr>
      </w:r>
    </w:p>
    <w:p>
      <w:pPr>
        <w:pStyle w:val="Normal"/>
        <w:keepLines/>
        <w:tabs>
          <w:tab w:val="clear" w:pos="850"/>
          <w:tab w:val="left" w:pos="2340" w:leader="none"/>
        </w:tabs>
        <w:rPr>
          <w:b/>
          <w:b/>
          <w:bCs/>
          <w:sz w:val="18"/>
          <w:szCs w:val="18"/>
          <w:lang w:val="hu-HU"/>
        </w:rPr>
      </w:pPr>
      <w:r>
        <w:rPr>
          <w:b/>
          <w:bCs/>
          <w:sz w:val="18"/>
          <w:szCs w:val="18"/>
          <w:lang w:val="hu-HU"/>
        </w:rPr>
        <w:t>4.1 Az elsősegély-nyújtási intézkedések ismertetése</w:t>
      </w:r>
    </w:p>
    <w:p>
      <w:pPr>
        <w:pStyle w:val="Normal"/>
        <w:keepLines/>
        <w:jc w:val="both"/>
        <w:rPr>
          <w:sz w:val="18"/>
          <w:szCs w:val="18"/>
          <w:lang w:val="hu-HU"/>
        </w:rPr>
      </w:pPr>
      <w:r>
        <w:rPr>
          <w:sz w:val="18"/>
          <w:szCs w:val="18"/>
          <w:lang w:val="hu-HU"/>
        </w:rPr>
        <w:t>Bármilyen tünet vagy kétség esetén forduljon orvoshoz és mutassa meg a biztonsági adatlapot, címkét. Tüneti kezelés javasolt.  Eszméletlen sérültet tegyen stabil oldalfekvésbe. Ne adjon semmit a szájába. Ne hánytassa. Spontán hányás esetén kerülje el a hányadék légutakba kerülését, aspirációt. A sérültet vigye friss levegőre.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keepLines/>
        <w:rPr>
          <w:bCs/>
          <w:sz w:val="18"/>
          <w:szCs w:val="18"/>
          <w:lang w:val="hu-HU"/>
        </w:rPr>
      </w:pPr>
      <w:r>
        <w:rPr>
          <w:bCs/>
          <w:sz w:val="18"/>
          <w:szCs w:val="18"/>
          <w:lang w:val="hu-HU"/>
        </w:rPr>
      </w:r>
    </w:p>
    <w:p>
      <w:pPr>
        <w:pStyle w:val="Normal"/>
        <w:keepLines/>
        <w:jc w:val="both"/>
        <w:rPr>
          <w:bCs/>
          <w:sz w:val="18"/>
          <w:szCs w:val="18"/>
          <w:lang w:val="hu-HU"/>
        </w:rPr>
      </w:pPr>
      <w:r>
        <w:rPr>
          <w:bCs/>
          <w:sz w:val="18"/>
          <w:szCs w:val="18"/>
          <w:lang w:val="hu-HU"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keepLines/>
        <w:rPr>
          <w:bCs/>
          <w:sz w:val="18"/>
          <w:szCs w:val="18"/>
          <w:lang w:val="hu-HU"/>
        </w:rPr>
      </w:pPr>
      <w:r>
        <w:rPr>
          <w:bCs/>
          <w:sz w:val="18"/>
          <w:szCs w:val="18"/>
          <w:lang w:val="hu-HU"/>
        </w:rPr>
        <w:t>Belélegzést követően:</w:t>
      </w:r>
    </w:p>
    <w:p>
      <w:pPr>
        <w:pStyle w:val="Normal"/>
        <w:keepLines/>
        <w:jc w:val="both"/>
        <w:rPr>
          <w:sz w:val="18"/>
          <w:szCs w:val="18"/>
          <w:lang w:val="hu-HU"/>
        </w:rPr>
      </w:pPr>
      <w:r>
        <w:rPr>
          <w:sz w:val="18"/>
          <w:szCs w:val="18"/>
          <w:lang w:val="hu-HU"/>
        </w:rPr>
        <w:t>Az eszméletlen személyt helyezze stabil oldalfekvésbe, szállításra alkalmas állapotban.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keepLines/>
        <w:rPr>
          <w:bCs/>
          <w:sz w:val="18"/>
          <w:szCs w:val="18"/>
          <w:lang w:val="hu-HU"/>
        </w:rPr>
      </w:pPr>
      <w:r>
        <w:rPr>
          <w:bCs/>
          <w:sz w:val="18"/>
          <w:szCs w:val="18"/>
          <w:lang w:val="hu-HU"/>
        </w:rPr>
      </w:r>
    </w:p>
    <w:p>
      <w:pPr>
        <w:pStyle w:val="Normal"/>
        <w:keepLines/>
        <w:jc w:val="both"/>
        <w:rPr>
          <w:b/>
          <w:b/>
          <w:bCs/>
          <w:sz w:val="18"/>
          <w:szCs w:val="18"/>
          <w:lang w:val="hu-HU"/>
        </w:rPr>
      </w:pPr>
      <w:r>
        <w:rPr>
          <w:b/>
          <w:bCs/>
          <w:sz w:val="18"/>
          <w:szCs w:val="18"/>
          <w:lang w:val="hu-HU"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sz w:val="18"/>
          <w:szCs w:val="18"/>
          <w:lang w:val="hu-HU"/>
        </w:rPr>
      </w:pPr>
      <w:r>
        <w:rPr>
          <w:sz w:val="18"/>
          <w:szCs w:val="18"/>
          <w:lang w:val="hu-HU"/>
        </w:rPr>
        <w:t>Lenyelést követően:</w:t>
      </w:r>
    </w:p>
    <w:p>
      <w:pPr>
        <w:pStyle w:val="Normal"/>
        <w:keepLines/>
        <w:rPr>
          <w:bCs/>
          <w:sz w:val="18"/>
          <w:szCs w:val="18"/>
          <w:lang w:val="hu-HU"/>
        </w:rPr>
      </w:pPr>
      <w:r>
        <w:rPr>
          <w:bCs/>
          <w:sz w:val="18"/>
          <w:szCs w:val="18"/>
          <w:lang w:val="hu-HU"/>
        </w:rPr>
      </w:r>
    </w:p>
    <w:p>
      <w:pPr>
        <w:pStyle w:val="Normal"/>
        <w:keepLines/>
        <w:jc w:val="both"/>
        <w:rPr>
          <w:sz w:val="18"/>
          <w:szCs w:val="18"/>
          <w:lang w:val="hu-HU"/>
        </w:rPr>
      </w:pPr>
      <w:r>
        <w:rPr>
          <w:sz w:val="18"/>
          <w:szCs w:val="18"/>
          <w:lang w:val="hu-HU"/>
        </w:rPr>
        <w:t>Ha a tünetek továbbra is fennállnak, forduljon orvoshoz.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keepLines/>
        <w:rPr>
          <w:bCs/>
          <w:sz w:val="18"/>
          <w:szCs w:val="18"/>
          <w:lang w:val="hu-HU"/>
        </w:rPr>
      </w:pPr>
      <w:r>
        <w:rPr>
          <w:bCs/>
          <w:sz w:val="18"/>
          <w:szCs w:val="18"/>
          <w:lang w:val="hu-HU"/>
        </w:rPr>
      </w:r>
    </w:p>
    <w:p>
      <w:pPr>
        <w:pStyle w:val="Normal"/>
        <w:keepLines/>
        <w:jc w:val="both"/>
        <w:rPr>
          <w:b/>
          <w:b/>
          <w:bCs/>
          <w:sz w:val="18"/>
          <w:szCs w:val="18"/>
          <w:lang w:val="hu-HU"/>
        </w:rPr>
      </w:pPr>
      <w:r>
        <w:rPr>
          <w:b/>
          <w:bCs/>
          <w:sz w:val="18"/>
          <w:szCs w:val="18"/>
          <w:lang w:val="hu-HU"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keepLines/>
        <w:rPr>
          <w:bCs/>
          <w:sz w:val="18"/>
          <w:szCs w:val="18"/>
          <w:lang w:val="hu-HU"/>
        </w:rPr>
      </w:pPr>
      <w:r>
        <w:rPr>
          <w:bCs/>
          <w:sz w:val="18"/>
          <w:szCs w:val="18"/>
          <w:lang w:val="hu-HU"/>
        </w:rPr>
        <w:t>Bőrrel való érintkezést követően:</w:t>
      </w:r>
    </w:p>
    <w:p>
      <w:pPr>
        <w:pStyle w:val="Normal"/>
        <w:keepLines/>
        <w:jc w:val="both"/>
        <w:rPr>
          <w:sz w:val="18"/>
          <w:szCs w:val="18"/>
          <w:lang w:val="hu-HU"/>
        </w:rPr>
      </w:pPr>
      <w:r>
        <w:rPr>
          <w:sz w:val="18"/>
          <w:szCs w:val="18"/>
          <w:lang w:val="hu-HU"/>
        </w:rPr>
        <w:t>Az érintett bőrfelületet azonnal mossa meg szappanos vízzel, és alaposan öblítse le.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keepLines/>
        <w:rPr>
          <w:bCs/>
          <w:sz w:val="18"/>
          <w:szCs w:val="18"/>
          <w:lang w:val="hu-HU"/>
        </w:rPr>
      </w:pPr>
      <w:r>
        <w:rPr>
          <w:bCs/>
          <w:sz w:val="18"/>
          <w:szCs w:val="18"/>
          <w:lang w:val="hu-HU"/>
        </w:rPr>
      </w:r>
    </w:p>
    <w:p>
      <w:pPr>
        <w:pStyle w:val="Normal"/>
        <w:keepLines/>
        <w:jc w:val="both"/>
        <w:rPr>
          <w:b/>
          <w:b/>
          <w:bCs/>
          <w:sz w:val="18"/>
          <w:szCs w:val="18"/>
          <w:lang w:val="hu-HU"/>
        </w:rPr>
      </w:pPr>
      <w:r>
        <w:rPr>
          <w:b/>
          <w:bCs/>
          <w:sz w:val="18"/>
          <w:szCs w:val="18"/>
          <w:lang w:val="hu-HU"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keepLines/>
        <w:rPr>
          <w:bCs/>
          <w:sz w:val="18"/>
          <w:szCs w:val="18"/>
          <w:lang w:val="hu-HU"/>
        </w:rPr>
      </w:pPr>
      <w:r>
        <w:rPr>
          <w:bCs/>
          <w:sz w:val="18"/>
          <w:szCs w:val="18"/>
          <w:lang w:val="hu-HU"/>
        </w:rPr>
        <w:t>Szembe kerülést követően:</w:t>
      </w:r>
    </w:p>
    <w:p>
      <w:pPr>
        <w:pStyle w:val="Normal"/>
        <w:keepLines/>
        <w:jc w:val="both"/>
        <w:rPr>
          <w:sz w:val="18"/>
          <w:szCs w:val="18"/>
          <w:lang w:val="hu-HU"/>
        </w:rPr>
      </w:pPr>
      <w:r>
        <w:rPr>
          <w:sz w:val="18"/>
          <w:szCs w:val="18"/>
          <w:lang w:val="hu-HU"/>
        </w:rPr>
        <w:t>Öblítse ki a szemet néhány percen át, bő folyóvízzel a szemhéjakat nyitva tartva, majd forduljon orvoshoz.</w:t>
      </w:r>
    </w:p>
    <w:p>
      <w:pPr>
        <w:pStyle w:val="Normal"/>
        <w:keepLines/>
        <w:jc w:val="both"/>
        <w:rPr>
          <w:sz w:val="18"/>
          <w:szCs w:val="18"/>
          <w:lang w:val="hu-HU"/>
        </w:rPr>
      </w:pPr>
      <w:r>
        <w:rPr>
          <w:sz w:val="18"/>
          <w:szCs w:val="18"/>
          <w:lang w:val="hu-HU"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keepLines/>
        <w:rPr>
          <w:b/>
          <w:b/>
          <w:bCs/>
          <w:sz w:val="18"/>
          <w:szCs w:val="18"/>
          <w:lang w:val="hu-HU"/>
        </w:rPr>
      </w:pPr>
      <w:r>
        <w:rPr>
          <w:b/>
          <w:bCs/>
          <w:sz w:val="18"/>
          <w:szCs w:val="18"/>
          <w:lang w:val="hu-HU"/>
        </w:rPr>
        <w:t xml:space="preserve">4.2 A legfontosabb – akut és késleltetett – tünetek és hatások </w:t>
      </w:r>
    </w:p>
    <w:p>
      <w:pPr>
        <w:pStyle w:val="Normal"/>
        <w:keepLines/>
        <w:jc w:val="both"/>
        <w:rPr>
          <w:sz w:val="18"/>
          <w:szCs w:val="18"/>
          <w:lang w:val="hu-HU"/>
        </w:rPr>
      </w:pPr>
      <w:r>
        <w:rPr>
          <w:bCs/>
          <w:sz w:val="18"/>
          <w:szCs w:val="18"/>
          <w:lang w:val="hu-HU"/>
        </w:rPr>
        <w:t>Nem ismertek.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keepLines/>
        <w:rPr>
          <w:b/>
          <w:b/>
          <w:bCs/>
          <w:sz w:val="18"/>
          <w:szCs w:val="18"/>
          <w:lang w:val="hu-HU"/>
        </w:rPr>
      </w:pPr>
      <w:r>
        <w:rPr>
          <w:b/>
          <w:bCs/>
          <w:sz w:val="18"/>
          <w:szCs w:val="18"/>
          <w:lang w:val="hu-HU"/>
        </w:rPr>
        <w:t>4.3 A szükséges azonnali orvosi ellátás és különleges ellátás jelzése</w:t>
      </w:r>
    </w:p>
    <w:p>
      <w:pPr>
        <w:pStyle w:val="Normal"/>
        <w:keepLines/>
        <w:rPr>
          <w:b/>
          <w:b/>
          <w:bCs/>
          <w:sz w:val="18"/>
          <w:szCs w:val="18"/>
          <w:lang w:val="hu-HU"/>
        </w:rPr>
      </w:pPr>
      <w:r>
        <w:rPr>
          <w:b/>
          <w:bCs/>
          <w:sz w:val="18"/>
          <w:szCs w:val="18"/>
          <w:lang w:val="hu-HU"/>
        </w:rPr>
      </w:r>
    </w:p>
    <w:p>
      <w:pPr>
        <w:pStyle w:val="Normal"/>
        <w:keepLines/>
        <w:jc w:val="both"/>
        <w:rPr>
          <w:bCs/>
          <w:sz w:val="18"/>
          <w:szCs w:val="18"/>
          <w:lang w:val="hu-HU"/>
        </w:rPr>
      </w:pPr>
      <w:r>
        <w:rPr>
          <w:bCs/>
          <w:sz w:val="18"/>
          <w:szCs w:val="18"/>
          <w:lang w:val="hu-HU"/>
        </w:rPr>
        <w:t>Tüneti kezelés.</w:t>
      </w:r>
    </w:p>
    <w:p>
      <w:pPr>
        <w:pStyle w:val="Normal"/>
        <w:rPr/>
      </w:pPr>
      <w:r>
        <w:rPr/>
      </w:r>
    </w:p>
    <w:p>
      <w:pPr>
        <w:pStyle w:val="Normal"/>
        <w:widowControl w:val="false"/>
        <w:jc w:val="center"/>
        <w:rPr>
          <w:rFonts w:ascii="MS Sans Serif" w:hAnsi="MS Sans Serif" w:cs="MS Sans Serif"/>
          <w:lang w:val="hu-HU"/>
        </w:rPr>
      </w:pPr>
      <w:r>
        <w:rPr>
          <w:b/>
          <w:bCs/>
          <w:color w:val="000000"/>
          <w:sz w:val="18"/>
          <w:szCs w:val="18"/>
          <w:lang w:val="hu-HU"/>
        </w:rPr>
        <w:t>5. SZAKASZ: Tűzoltási intézkedések</w:t>
      </w:r>
    </w:p>
    <w:p>
      <w:pPr>
        <w:pStyle w:val="Normal"/>
        <w:widowControl w:val="false"/>
        <w:jc w:val="both"/>
        <w:rPr>
          <w:b/>
          <w:b/>
          <w:bCs/>
          <w:color w:val="000000"/>
          <w:sz w:val="18"/>
          <w:szCs w:val="18"/>
          <w:lang w:val="hu-HU"/>
        </w:rPr>
      </w:pPr>
      <w:r>
        <w:rPr>
          <w:b/>
          <w:bCs/>
          <w:color w:val="000000"/>
          <w:sz w:val="18"/>
          <w:szCs w:val="18"/>
          <w:lang w:val="hu-HU"/>
        </w:rPr>
      </w:r>
    </w:p>
    <w:tbl>
      <w:tblPr>
        <w:tblW w:w="9269" w:type="dxa"/>
        <w:jc w:val="left"/>
        <w:tblInd w:w="60" w:type="dxa"/>
        <w:tblCellMar>
          <w:top w:w="0" w:type="dxa"/>
          <w:left w:w="60" w:type="dxa"/>
          <w:bottom w:w="0" w:type="dxa"/>
          <w:right w:w="60" w:type="dxa"/>
        </w:tblCellMar>
        <w:tblLook w:firstRow="0" w:noVBand="0" w:lastRow="0" w:firstColumn="0" w:lastColumn="0" w:noHBand="0" w:val="0000"/>
      </w:tblPr>
      <w:tblGrid>
        <w:gridCol w:w="2376"/>
        <w:gridCol w:w="6892"/>
      </w:tblGrid>
      <w:tr>
        <w:trPr/>
        <w:tc>
          <w:tcPr>
            <w:tcW w:w="2376" w:type="dxa"/>
            <w:tcBorders/>
            <w:shd w:fill="auto" w:val="clear"/>
          </w:tcPr>
          <w:p>
            <w:pPr>
              <w:pStyle w:val="Normal"/>
              <w:keepLines/>
              <w:rPr>
                <w:b/>
                <w:b/>
                <w:bCs/>
                <w:sz w:val="18"/>
                <w:szCs w:val="18"/>
                <w:lang w:val="hu-HU"/>
              </w:rPr>
            </w:pPr>
            <w:r>
              <w:rPr>
                <w:b/>
                <w:bCs/>
                <w:sz w:val="18"/>
                <w:szCs w:val="18"/>
                <w:lang w:val="hu-HU"/>
              </w:rPr>
              <w:t>5. 1 Oltóanyag</w:t>
            </w:r>
          </w:p>
        </w:tc>
        <w:tc>
          <w:tcPr>
            <w:tcW w:w="6892" w:type="dxa"/>
            <w:tcBorders/>
            <w:shd w:fill="auto" w:val="clear"/>
          </w:tcPr>
          <w:p>
            <w:pPr>
              <w:pStyle w:val="Normal"/>
              <w:keepLines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 xml:space="preserve">A megfelelő oltóanyag: használjon a környezeti feltételeknek megfelelő tűzoltási módszereket. </w:t>
            </w:r>
          </w:p>
          <w:p>
            <w:pPr>
              <w:pStyle w:val="Normal"/>
              <w:keepLines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Az alkalmatlan oltóanyag: nem ismert.</w:t>
            </w:r>
          </w:p>
        </w:tc>
      </w:tr>
      <w:tr>
        <w:trPr/>
        <w:tc>
          <w:tcPr>
            <w:tcW w:w="2376" w:type="dxa"/>
            <w:tcBorders/>
            <w:shd w:fill="auto" w:val="clear"/>
          </w:tcPr>
          <w:p>
            <w:pPr>
              <w:pStyle w:val="Normal"/>
              <w:keepLines/>
              <w:rPr>
                <w:b/>
                <w:b/>
                <w:bCs/>
                <w:sz w:val="18"/>
                <w:szCs w:val="18"/>
                <w:lang w:val="hu-HU"/>
              </w:rPr>
            </w:pPr>
            <w:r>
              <w:rPr>
                <w:b/>
                <w:bCs/>
                <w:sz w:val="18"/>
                <w:szCs w:val="18"/>
                <w:lang w:val="hu-HU"/>
              </w:rPr>
              <w:t>5.2 Az anyagból vagy a keverékből származó különleges veszélyek</w:t>
            </w:r>
          </w:p>
        </w:tc>
        <w:tc>
          <w:tcPr>
            <w:tcW w:w="6892" w:type="dxa"/>
            <w:tcBorders/>
            <w:shd w:fill="auto" w:val="clear"/>
          </w:tcPr>
          <w:p>
            <w:pPr>
              <w:pStyle w:val="Normal"/>
              <w:keepLines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Nem ismert.</w:t>
            </w:r>
          </w:p>
        </w:tc>
      </w:tr>
      <w:tr>
        <w:trPr>
          <w:trHeight w:val="60" w:hRule="atLeast"/>
        </w:trPr>
        <w:tc>
          <w:tcPr>
            <w:tcW w:w="2376" w:type="dxa"/>
            <w:tcBorders/>
            <w:shd w:fill="auto" w:val="clear"/>
          </w:tcPr>
          <w:p>
            <w:pPr>
              <w:pStyle w:val="Normal"/>
              <w:keepLines/>
              <w:rPr>
                <w:b/>
                <w:b/>
                <w:bCs/>
                <w:sz w:val="18"/>
                <w:szCs w:val="18"/>
                <w:lang w:val="hu-HU"/>
              </w:rPr>
            </w:pPr>
            <w:r>
              <w:rPr>
                <w:b/>
                <w:bCs/>
                <w:sz w:val="18"/>
                <w:szCs w:val="18"/>
                <w:lang w:val="hu-HU"/>
              </w:rPr>
              <w:t>5.3 Tűzoltónak szóló javaslat</w:t>
            </w:r>
          </w:p>
        </w:tc>
        <w:tc>
          <w:tcPr>
            <w:tcW w:w="6892" w:type="dxa"/>
            <w:tcBorders/>
            <w:shd w:fill="auto" w:val="clear"/>
          </w:tcPr>
          <w:p>
            <w:pPr>
              <w:pStyle w:val="Normal"/>
              <w:jc w:val="both"/>
              <w:rPr>
                <w:color w:val="000000"/>
                <w:sz w:val="18"/>
                <w:szCs w:val="18"/>
                <w:lang w:val="hu-HU" w:eastAsia="en-GB"/>
              </w:rPr>
            </w:pPr>
            <w:r>
              <w:rPr>
                <w:color w:val="000000"/>
                <w:sz w:val="18"/>
                <w:szCs w:val="18"/>
                <w:lang w:val="hu-HU" w:eastAsia="en-GB"/>
              </w:rPr>
              <w:t>Speciális védőfelszerelés: különleges intézkedések nem szükségesek.</w:t>
            </w:r>
          </w:p>
          <w:p>
            <w:pPr>
              <w:pStyle w:val="Normal"/>
              <w:jc w:val="both"/>
              <w:rPr>
                <w:color w:val="000000"/>
                <w:sz w:val="18"/>
                <w:szCs w:val="18"/>
                <w:lang w:val="hu-HU" w:eastAsia="en-GB"/>
              </w:rPr>
            </w:pPr>
            <w:r>
              <w:rPr>
                <w:color w:val="000000"/>
                <w:sz w:val="18"/>
                <w:szCs w:val="18"/>
                <w:lang w:val="hu-HU" w:eastAsia="en-GB"/>
              </w:rPr>
              <w:t>Hűtse a veszélyeztetett tartályokat vízpermettel.</w:t>
            </w:r>
          </w:p>
        </w:tc>
      </w:tr>
    </w:tbl>
    <w:p>
      <w:pPr>
        <w:pStyle w:val="Normal"/>
        <w:widowControl w:val="false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</w:r>
    </w:p>
    <w:p>
      <w:pPr>
        <w:pStyle w:val="Normal"/>
        <w:widowControl w:val="false"/>
        <w:jc w:val="center"/>
        <w:rPr>
          <w:rFonts w:ascii="MS Sans Serif" w:hAnsi="MS Sans Serif" w:cs="MS Sans Serif"/>
          <w:lang w:val="hu-HU"/>
        </w:rPr>
      </w:pPr>
      <w:r>
        <w:rPr>
          <w:b/>
          <w:bCs/>
          <w:color w:val="000000"/>
          <w:sz w:val="18"/>
          <w:szCs w:val="18"/>
          <w:lang w:val="hu-HU"/>
        </w:rPr>
        <w:t>6. SZAKASZ: Intézkedések véletlenszerű expozíciónál</w:t>
      </w:r>
    </w:p>
    <w:p>
      <w:pPr>
        <w:pStyle w:val="Normal"/>
        <w:widowControl w:val="false"/>
        <w:jc w:val="both"/>
        <w:rPr>
          <w:b/>
          <w:b/>
          <w:bCs/>
          <w:color w:val="000000"/>
          <w:sz w:val="18"/>
          <w:szCs w:val="18"/>
          <w:lang w:val="hu-HU"/>
        </w:rPr>
      </w:pPr>
      <w:r>
        <w:rPr>
          <w:b/>
          <w:bCs/>
          <w:color w:val="000000"/>
          <w:sz w:val="18"/>
          <w:szCs w:val="18"/>
          <w:lang w:val="hu-HU"/>
        </w:rPr>
      </w:r>
    </w:p>
    <w:p>
      <w:pPr>
        <w:pStyle w:val="Normal"/>
        <w:widowControl w:val="false"/>
        <w:jc w:val="both"/>
        <w:rPr>
          <w:b/>
          <w:b/>
          <w:bCs/>
          <w:color w:val="000000"/>
          <w:sz w:val="18"/>
          <w:szCs w:val="18"/>
          <w:lang w:val="hu-HU"/>
        </w:rPr>
      </w:pPr>
      <w:r>
        <w:rPr>
          <w:b/>
          <w:bCs/>
          <w:color w:val="000000"/>
          <w:sz w:val="18"/>
          <w:szCs w:val="18"/>
          <w:lang w:val="hu-HU"/>
        </w:rPr>
      </w:r>
    </w:p>
    <w:p>
      <w:pPr>
        <w:pStyle w:val="Normal"/>
        <w:keepLines/>
        <w:rPr>
          <w:b/>
          <w:b/>
          <w:bCs/>
          <w:sz w:val="18"/>
          <w:szCs w:val="18"/>
          <w:lang w:val="hu-HU"/>
        </w:rPr>
      </w:pPr>
      <w:r>
        <w:rPr>
          <w:b/>
          <w:bCs/>
          <w:sz w:val="18"/>
          <w:szCs w:val="18"/>
          <w:lang w:val="hu-HU"/>
        </w:rPr>
        <w:t>6.1 Személyi óvintézkedések, egyéni védőeszközök és vészhelyzeti eljárások</w:t>
      </w:r>
    </w:p>
    <w:p>
      <w:pPr>
        <w:pStyle w:val="Normal"/>
        <w:keepLines/>
        <w:jc w:val="both"/>
        <w:rPr>
          <w:bCs/>
          <w:sz w:val="18"/>
          <w:szCs w:val="18"/>
          <w:lang w:val="hu-HU"/>
        </w:rPr>
      </w:pPr>
      <w:r>
        <w:rPr>
          <w:sz w:val="18"/>
          <w:szCs w:val="18"/>
          <w:u w:val="single"/>
          <w:lang w:val="hu-HU"/>
        </w:rPr>
        <w:t>Nem sürgősségi ellátók számára:</w:t>
      </w:r>
      <w:r>
        <w:rPr>
          <w:bCs/>
          <w:sz w:val="18"/>
          <w:szCs w:val="18"/>
          <w:lang w:val="hu-HU"/>
        </w:rPr>
        <w:t xml:space="preserve"> </w:t>
      </w:r>
    </w:p>
    <w:p>
      <w:pPr>
        <w:pStyle w:val="Normal"/>
        <w:keepLines/>
        <w:jc w:val="both"/>
        <w:rPr>
          <w:sz w:val="18"/>
          <w:szCs w:val="18"/>
          <w:lang w:val="hu-HU"/>
        </w:rPr>
      </w:pPr>
      <w:r>
        <w:rPr>
          <w:sz w:val="18"/>
          <w:szCs w:val="18"/>
          <w:lang w:val="hu-HU"/>
        </w:rPr>
        <w:t>Maradjunk távol a baleset területétől, amíg sürgősségi ellátó személyzetet fel nem takarítja a kiömlött terméket. Nagy mennyiségű kiömlés esetén kerítsük el a veszélyterületet.</w:t>
      </w:r>
    </w:p>
    <w:p>
      <w:pPr>
        <w:pStyle w:val="Normal"/>
        <w:keepLines/>
        <w:jc w:val="both"/>
        <w:rPr>
          <w:bCs/>
          <w:sz w:val="18"/>
          <w:szCs w:val="18"/>
          <w:lang w:val="hu-HU"/>
        </w:rPr>
      </w:pPr>
      <w:r>
        <w:rPr>
          <w:bCs/>
          <w:sz w:val="18"/>
          <w:szCs w:val="18"/>
          <w:lang w:val="hu-HU"/>
        </w:rPr>
        <w:t xml:space="preserve">Nagy mennyiségű kiömlés esetén ürítsük ki a veszélyes területet és csak a minimálisan szükséges egyedek tartózkodjanak a területen. A személyi védőfelszerelés használata szükséges az expozíció mértékétől függően. </w:t>
      </w:r>
      <w:r>
        <w:rPr>
          <w:sz w:val="18"/>
          <w:szCs w:val="18"/>
          <w:lang w:val="hu-HU"/>
        </w:rPr>
        <w:t>Biztosítsunk megfelelő (mechanikus) szellőztetést, hatékony légcserét. Kerüljük a termék szemmel és bőrrel való érintkezését.</w:t>
      </w:r>
    </w:p>
    <w:p>
      <w:pPr>
        <w:pStyle w:val="Normal"/>
        <w:keepLines/>
        <w:jc w:val="both"/>
        <w:rPr>
          <w:sz w:val="18"/>
          <w:szCs w:val="18"/>
          <w:lang w:val="hu-HU"/>
        </w:rPr>
      </w:pPr>
      <w:r>
        <w:rPr>
          <w:bCs/>
          <w:sz w:val="18"/>
          <w:szCs w:val="18"/>
          <w:lang w:val="hu-HU"/>
        </w:rPr>
        <w:t>Veszélyhelyzeti elhárítások: Az illetéktelen személyeket tartsa távol.</w:t>
      </w:r>
    </w:p>
    <w:p>
      <w:pPr>
        <w:pStyle w:val="Normal"/>
        <w:keepLines/>
        <w:jc w:val="both"/>
        <w:rPr>
          <w:bCs/>
          <w:sz w:val="18"/>
          <w:szCs w:val="18"/>
          <w:lang w:val="hu-HU"/>
        </w:rPr>
      </w:pPr>
      <w:r>
        <w:rPr>
          <w:sz w:val="18"/>
          <w:szCs w:val="18"/>
          <w:u w:val="single"/>
          <w:lang w:val="hu-HU"/>
        </w:rPr>
        <w:t>Sürgősségi ellátók számára:</w:t>
      </w:r>
      <w:r>
        <w:rPr>
          <w:bCs/>
          <w:sz w:val="18"/>
          <w:szCs w:val="18"/>
          <w:lang w:val="hu-HU"/>
        </w:rPr>
        <w:t xml:space="preserve"> </w:t>
      </w:r>
    </w:p>
    <w:p>
      <w:pPr>
        <w:pStyle w:val="Normal"/>
        <w:keepLines/>
        <w:jc w:val="both"/>
        <w:rPr>
          <w:sz w:val="18"/>
          <w:szCs w:val="18"/>
          <w:lang w:val="hu-HU"/>
        </w:rPr>
      </w:pPr>
      <w:r>
        <w:rPr>
          <w:sz w:val="18"/>
          <w:szCs w:val="18"/>
          <w:lang w:val="hu-HU"/>
        </w:rPr>
        <w:t xml:space="preserve">Bármilyen mértékben kiömlött termék és annak következménye csak a megfelelően képzett egyed által takarítható fel. </w:t>
      </w:r>
    </w:p>
    <w:p>
      <w:pPr>
        <w:pStyle w:val="Normal"/>
        <w:keepLines/>
        <w:jc w:val="both"/>
        <w:rPr>
          <w:sz w:val="18"/>
          <w:szCs w:val="18"/>
          <w:lang w:val="hu-HU"/>
        </w:rPr>
      </w:pPr>
      <w:r>
        <w:rPr>
          <w:sz w:val="18"/>
          <w:szCs w:val="18"/>
          <w:lang w:val="hu-HU"/>
        </w:rPr>
        <w:t xml:space="preserve">Egyéni védőruhának alkalmas megfelelő szövet: </w:t>
      </w:r>
    </w:p>
    <w:p>
      <w:pPr>
        <w:pStyle w:val="Normal"/>
        <w:keepLines/>
        <w:jc w:val="both"/>
        <w:rPr>
          <w:sz w:val="18"/>
          <w:szCs w:val="18"/>
          <w:lang w:val="hu-HU"/>
        </w:rPr>
      </w:pPr>
      <w:r>
        <w:rPr>
          <w:sz w:val="18"/>
          <w:szCs w:val="18"/>
          <w:lang w:val="hu-HU"/>
        </w:rPr>
        <w:t>Megfelelő: Nem ismert</w:t>
      </w:r>
    </w:p>
    <w:p>
      <w:pPr>
        <w:pStyle w:val="Normal"/>
        <w:keepLines/>
        <w:jc w:val="both"/>
        <w:rPr>
          <w:sz w:val="18"/>
          <w:szCs w:val="18"/>
          <w:u w:val="single"/>
          <w:lang w:val="hu-HU"/>
        </w:rPr>
      </w:pPr>
      <w:r>
        <w:rPr>
          <w:sz w:val="18"/>
          <w:szCs w:val="18"/>
          <w:lang w:val="hu-HU"/>
        </w:rPr>
        <w:t>Nem megfelelő: Nem ismert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keepLines/>
        <w:rPr>
          <w:b/>
          <w:b/>
          <w:bCs/>
          <w:sz w:val="18"/>
          <w:szCs w:val="18"/>
          <w:lang w:val="hu-HU"/>
        </w:rPr>
      </w:pPr>
      <w:r>
        <w:rPr>
          <w:b/>
          <w:bCs/>
          <w:sz w:val="18"/>
          <w:szCs w:val="18"/>
          <w:lang w:val="hu-HU"/>
        </w:rPr>
        <w:t>6.2 Környezetvédelmi óvintézkedések</w:t>
      </w:r>
    </w:p>
    <w:p>
      <w:pPr>
        <w:pStyle w:val="Normal"/>
        <w:keepLines/>
        <w:jc w:val="both"/>
        <w:rPr>
          <w:sz w:val="18"/>
          <w:szCs w:val="18"/>
          <w:lang w:val="hu-HU"/>
        </w:rPr>
      </w:pPr>
      <w:r>
        <w:rPr>
          <w:sz w:val="18"/>
          <w:szCs w:val="18"/>
          <w:lang w:val="hu-HU"/>
        </w:rPr>
        <w:t>Előzze meg a termék közcsatornába, felszíni és talajvízbe jutását. Vizekbe, közcsatornákban történő bejutás esetén értesítse a területileg illetékes hatóságot és üzemeltetőt.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keepLines/>
        <w:rPr>
          <w:b/>
          <w:b/>
          <w:bCs/>
          <w:sz w:val="18"/>
          <w:szCs w:val="18"/>
          <w:lang w:val="hu-HU"/>
        </w:rPr>
      </w:pPr>
      <w:r>
        <w:rPr>
          <w:b/>
          <w:bCs/>
          <w:sz w:val="18"/>
          <w:szCs w:val="18"/>
          <w:lang w:val="hu-HU"/>
        </w:rPr>
        <w:t>6.3 A területi elhatárolás és a szennyezésmentesítés módszerei és anyagai</w:t>
      </w:r>
    </w:p>
    <w:p>
      <w:pPr>
        <w:pStyle w:val="Normal"/>
        <w:keepLines/>
        <w:jc w:val="both"/>
        <w:rPr>
          <w:sz w:val="18"/>
          <w:szCs w:val="18"/>
          <w:lang w:val="hu-HU"/>
        </w:rPr>
      </w:pPr>
      <w:r>
        <w:rPr>
          <w:sz w:val="18"/>
          <w:szCs w:val="18"/>
          <w:lang w:val="hu-HU"/>
        </w:rPr>
        <w:t>A kiömlött terméket itassa fel nedvességet megkötő anyaggal (pl. homok, kovaföld, savmegkötő anyagok, univerzális kötőanyagok, fűrészpor), majd az összegyűjtött hulladékot szakszerű eltávolításig/ártalmatlanításig megfelelő, címkével ellátott, zárható veszélyes hulladékgyűjtő tartályba helyezve kell tárolni. A hulladék összegyűjtése, elhelyezése, ártalmatlanítása közben megfelelő egyéni védőeszközök használata szükséges. Biztosítson megfelelő szellőztetést.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keepLines/>
        <w:rPr>
          <w:b/>
          <w:b/>
          <w:bCs/>
          <w:sz w:val="18"/>
          <w:szCs w:val="18"/>
          <w:lang w:val="hu-HU"/>
        </w:rPr>
      </w:pPr>
      <w:r>
        <w:rPr>
          <w:b/>
          <w:bCs/>
          <w:sz w:val="18"/>
          <w:szCs w:val="18"/>
          <w:lang w:val="hu-HU"/>
        </w:rPr>
        <w:t>6.4 Hivatkozás más szakaszokra</w:t>
      </w:r>
    </w:p>
    <w:p>
      <w:pPr>
        <w:pStyle w:val="Normal"/>
        <w:keepLines/>
        <w:rPr>
          <w:b/>
          <w:b/>
          <w:bCs/>
          <w:sz w:val="18"/>
          <w:szCs w:val="18"/>
          <w:lang w:val="hu-HU"/>
        </w:rPr>
      </w:pPr>
      <w:r>
        <w:rPr>
          <w:b/>
          <w:bCs/>
          <w:sz w:val="18"/>
          <w:szCs w:val="18"/>
          <w:lang w:val="hu-HU"/>
        </w:rPr>
      </w:r>
    </w:p>
    <w:p>
      <w:pPr>
        <w:pStyle w:val="Normal"/>
        <w:keepLines/>
        <w:jc w:val="both"/>
        <w:rPr>
          <w:color w:val="000000"/>
          <w:sz w:val="18"/>
          <w:szCs w:val="18"/>
          <w:lang w:val="hu-HU"/>
        </w:rPr>
      </w:pPr>
      <w:r>
        <w:rPr>
          <w:bCs/>
          <w:sz w:val="18"/>
          <w:szCs w:val="18"/>
          <w:lang w:val="hu-HU"/>
        </w:rPr>
        <w:t>A biztonságos kezelésre vonatkozó információkat lásd a 7. szakaszban. A személyi védőfelszereléseket lásd a 8. szakaszban. Az ártalmatlanításra vonatkozó információkat lásd a 13. szakaszban.</w:t>
      </w:r>
    </w:p>
    <w:p>
      <w:pPr>
        <w:pStyle w:val="Normal"/>
        <w:rPr/>
      </w:pPr>
      <w:r>
        <w:rPr/>
      </w:r>
    </w:p>
    <w:p>
      <w:pPr>
        <w:pStyle w:val="Normal"/>
        <w:widowControl w:val="false"/>
        <w:jc w:val="center"/>
        <w:rPr>
          <w:rFonts w:ascii="MS Sans Serif" w:hAnsi="MS Sans Serif" w:cs="MS Sans Serif"/>
          <w:lang w:val="hu-HU"/>
        </w:rPr>
      </w:pPr>
      <w:r>
        <w:rPr>
          <w:b/>
          <w:bCs/>
          <w:color w:val="000000"/>
          <w:sz w:val="18"/>
          <w:szCs w:val="18"/>
          <w:lang w:val="hu-HU"/>
        </w:rPr>
        <w:t>7. SZAKASZ: Kezelés és tárolás</w:t>
      </w:r>
    </w:p>
    <w:p>
      <w:pPr>
        <w:pStyle w:val="Normal"/>
        <w:widowControl w:val="false"/>
        <w:jc w:val="center"/>
        <w:rPr>
          <w:b/>
          <w:b/>
          <w:bCs/>
          <w:color w:val="000000"/>
          <w:sz w:val="18"/>
          <w:szCs w:val="18"/>
          <w:lang w:val="hu-HU"/>
        </w:rPr>
      </w:pPr>
      <w:r>
        <w:rPr>
          <w:b/>
          <w:bCs/>
          <w:color w:val="000000"/>
          <w:sz w:val="18"/>
          <w:szCs w:val="18"/>
          <w:lang w:val="hu-HU"/>
        </w:rPr>
      </w:r>
    </w:p>
    <w:tbl>
      <w:tblPr>
        <w:tblW w:w="9269" w:type="dxa"/>
        <w:jc w:val="left"/>
        <w:tblInd w:w="60" w:type="dxa"/>
        <w:tblCellMar>
          <w:top w:w="0" w:type="dxa"/>
          <w:left w:w="60" w:type="dxa"/>
          <w:bottom w:w="0" w:type="dxa"/>
          <w:right w:w="60" w:type="dxa"/>
        </w:tblCellMar>
        <w:tblLook w:firstRow="0" w:noVBand="0" w:lastRow="0" w:firstColumn="0" w:lastColumn="0" w:noHBand="0" w:val="0000"/>
      </w:tblPr>
      <w:tblGrid>
        <w:gridCol w:w="2376"/>
        <w:gridCol w:w="6892"/>
      </w:tblGrid>
      <w:tr>
        <w:trPr/>
        <w:tc>
          <w:tcPr>
            <w:tcW w:w="2376" w:type="dxa"/>
            <w:tcBorders/>
            <w:shd w:fill="auto" w:val="clear"/>
          </w:tcPr>
          <w:p>
            <w:pPr>
              <w:pStyle w:val="Normal"/>
              <w:keepNext w:val="true"/>
              <w:keepLines/>
              <w:rPr>
                <w:b/>
                <w:b/>
                <w:bCs/>
                <w:sz w:val="18"/>
                <w:szCs w:val="18"/>
                <w:lang w:val="hu-HU"/>
              </w:rPr>
            </w:pPr>
            <w:r>
              <w:rPr>
                <w:b/>
                <w:bCs/>
                <w:sz w:val="18"/>
                <w:szCs w:val="18"/>
                <w:lang w:val="hu-HU"/>
              </w:rPr>
              <w:t>7.1 A biztonságos kezelésre irányuló óvintézkedések</w:t>
            </w:r>
          </w:p>
        </w:tc>
        <w:tc>
          <w:tcPr>
            <w:tcW w:w="6892" w:type="dxa"/>
            <w:tcBorders/>
            <w:shd w:fill="auto" w:val="clear"/>
          </w:tcPr>
          <w:p>
            <w:pPr>
              <w:pStyle w:val="Normal"/>
              <w:keepNext w:val="true"/>
              <w:keepLines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 xml:space="preserve">Biztonsági intézkedések: </w:t>
            </w:r>
          </w:p>
          <w:p>
            <w:pPr>
              <w:pStyle w:val="Normal"/>
              <w:keepNext w:val="true"/>
              <w:keepLines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 xml:space="preserve">Kezelés közben megfelelő szellőztetés mellett tartsa be a helyes munkahelyi gyakorlatot, a vonatkozó szabványokat és munkahigiéniai előírásokat. Kerülje a termékkel való közvetlen érintkezést. Rendeltetésszerűen használja. </w:t>
            </w:r>
          </w:p>
          <w:p>
            <w:pPr>
              <w:pStyle w:val="Normal"/>
              <w:keepNext w:val="true"/>
              <w:keepLines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A tűz megakadályozására tett intézkedések:</w:t>
            </w:r>
          </w:p>
          <w:p>
            <w:pPr>
              <w:pStyle w:val="Normal"/>
              <w:keepNext w:val="true"/>
              <w:keepLines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Különleges intézkedések nem szükségesek.</w:t>
            </w:r>
          </w:p>
          <w:p>
            <w:pPr>
              <w:pStyle w:val="Normal"/>
              <w:keepNext w:val="true"/>
              <w:keepLines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Az aeroszol és a por keletkezésének megakadályozására tett intézkedések:</w:t>
            </w:r>
          </w:p>
          <w:p>
            <w:pPr>
              <w:pStyle w:val="Normal"/>
              <w:keepNext w:val="true"/>
              <w:keepLines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Biztosítson megfelelő szellőztetést/elszívást a munkaterületen. Az aeroszolok képződését meg kell akadályozni.</w:t>
            </w:r>
          </w:p>
          <w:p>
            <w:pPr>
              <w:pStyle w:val="Normal"/>
              <w:keepNext w:val="true"/>
              <w:keepLines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A környezet védelme érdekében tett intézkedések:</w:t>
            </w:r>
          </w:p>
          <w:p>
            <w:pPr>
              <w:pStyle w:val="Normal"/>
              <w:keepNext w:val="true"/>
              <w:keepLines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Lásd. 6.2 szakasz.</w:t>
            </w:r>
          </w:p>
          <w:p>
            <w:pPr>
              <w:pStyle w:val="Normal"/>
              <w:keepNext w:val="true"/>
              <w:keepLines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Az általános munkahelyi higiéniára vonatkozó tanácsok:</w:t>
            </w:r>
          </w:p>
          <w:p>
            <w:pPr>
              <w:pStyle w:val="Normal"/>
              <w:keepNext w:val="true"/>
              <w:keepLines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A munkaterületen való étkezés, italfogyasztás és dohányzás tilos.  A használatot követően mosson kezet.  A szennyezett ruházatban és védőeszközben az étkezésre szolgáló területekre belépni tilos.</w:t>
            </w:r>
          </w:p>
        </w:tc>
      </w:tr>
      <w:tr>
        <w:trPr/>
        <w:tc>
          <w:tcPr>
            <w:tcW w:w="2376" w:type="dxa"/>
            <w:tcBorders/>
            <w:shd w:fill="auto" w:val="clear"/>
          </w:tcPr>
          <w:p>
            <w:pPr>
              <w:pStyle w:val="Normal"/>
              <w:keepLines/>
              <w:rPr>
                <w:b/>
                <w:b/>
                <w:bCs/>
                <w:sz w:val="18"/>
                <w:szCs w:val="18"/>
                <w:lang w:val="hu-HU"/>
              </w:rPr>
            </w:pPr>
            <w:r>
              <w:rPr>
                <w:b/>
                <w:bCs/>
                <w:sz w:val="18"/>
                <w:szCs w:val="18"/>
                <w:lang w:val="hu-HU"/>
              </w:rPr>
              <w:t>7.2 A biztonságos tárolás feltételei, az esetleges összeférhetetlenséggel együtt</w:t>
            </w:r>
          </w:p>
        </w:tc>
        <w:tc>
          <w:tcPr>
            <w:tcW w:w="6892" w:type="dxa"/>
            <w:tcBorders/>
            <w:shd w:fill="auto" w:val="clear"/>
          </w:tcPr>
          <w:p>
            <w:pPr>
              <w:pStyle w:val="Normal"/>
              <w:keepLines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A tároló helyiséggel és a tartállyal szemben támasztott követelmények: nincsenek különleges követelmények.</w:t>
            </w:r>
          </w:p>
          <w:p>
            <w:pPr>
              <w:pStyle w:val="Normal"/>
              <w:keepLines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Együttes tárolással kapcsolatos információk: nem szükséges.</w:t>
            </w:r>
          </w:p>
          <w:p>
            <w:pPr>
              <w:pStyle w:val="Normal"/>
              <w:keepLines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További adatok a tárolási körülményekkel kapcsolatban: nincs.</w:t>
            </w:r>
          </w:p>
        </w:tc>
      </w:tr>
      <w:tr>
        <w:trPr/>
        <w:tc>
          <w:tcPr>
            <w:tcW w:w="2376" w:type="dxa"/>
            <w:tcBorders/>
            <w:shd w:fill="auto" w:val="clear"/>
          </w:tcPr>
          <w:p>
            <w:pPr>
              <w:pStyle w:val="Normal"/>
              <w:keepLines/>
              <w:rPr>
                <w:b/>
                <w:b/>
                <w:bCs/>
                <w:sz w:val="18"/>
                <w:szCs w:val="18"/>
                <w:lang w:val="hu-HU"/>
              </w:rPr>
            </w:pPr>
            <w:r>
              <w:rPr>
                <w:b/>
                <w:bCs/>
                <w:sz w:val="18"/>
                <w:szCs w:val="18"/>
                <w:lang w:val="hu-HU"/>
              </w:rPr>
              <w:t>7.3 Meghatározott végfelhasználás (végfelhasználások)</w:t>
            </w:r>
          </w:p>
        </w:tc>
        <w:tc>
          <w:tcPr>
            <w:tcW w:w="6892" w:type="dxa"/>
            <w:tcBorders/>
            <w:shd w:fill="auto" w:val="clear"/>
          </w:tcPr>
          <w:p>
            <w:pPr>
              <w:pStyle w:val="Normal"/>
              <w:widowControl w:val="false"/>
              <w:jc w:val="both"/>
              <w:rPr>
                <w:color w:val="000000"/>
                <w:sz w:val="18"/>
                <w:szCs w:val="18"/>
                <w:lang w:val="hu-HU"/>
              </w:rPr>
            </w:pPr>
            <w:r>
              <w:rPr>
                <w:color w:val="000000"/>
                <w:sz w:val="18"/>
                <w:szCs w:val="18"/>
                <w:lang w:val="hu-HU"/>
              </w:rPr>
              <w:t>lásd 1. szakasz</w:t>
            </w:r>
          </w:p>
          <w:p>
            <w:pPr>
              <w:pStyle w:val="Normal"/>
              <w:keepLines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</w:r>
          </w:p>
        </w:tc>
      </w:tr>
    </w:tbl>
    <w:p>
      <w:pPr>
        <w:pStyle w:val="Normal"/>
        <w:widowControl w:val="false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</w:r>
    </w:p>
    <w:tbl>
      <w:tblPr>
        <w:tblW w:w="9360" w:type="dxa"/>
        <w:jc w:val="left"/>
        <w:tblInd w:w="0" w:type="dxa"/>
        <w:tblCellMar>
          <w:top w:w="0" w:type="dxa"/>
          <w:left w:w="71" w:type="dxa"/>
          <w:bottom w:w="0" w:type="dxa"/>
          <w:right w:w="71" w:type="dxa"/>
        </w:tblCellMar>
        <w:tblLook w:firstRow="0" w:noVBand="0" w:lastRow="0" w:firstColumn="0" w:lastColumn="0" w:noHBand="0" w:val="0000"/>
      </w:tblPr>
      <w:tblGrid>
        <w:gridCol w:w="9360"/>
      </w:tblGrid>
      <w:tr>
        <w:trPr/>
        <w:tc>
          <w:tcPr>
            <w:tcW w:w="9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MS Sans Serif" w:hAnsi="MS Sans Serif" w:cs="MS Sans Serif"/>
                <w:lang w:val="hu-HU"/>
              </w:rPr>
            </w:pPr>
            <w:r>
              <w:rPr>
                <w:b/>
                <w:bCs/>
                <w:color w:val="000000"/>
                <w:sz w:val="18"/>
                <w:szCs w:val="18"/>
                <w:lang w:val="hu-HU"/>
              </w:rPr>
              <w:t>8. SZAKASZ: Az expozíció ellenőrzése/egyéni védelem</w:t>
            </w:r>
          </w:p>
        </w:tc>
      </w:tr>
    </w:tbl>
    <w:p>
      <w:pPr>
        <w:pStyle w:val="Normal"/>
        <w:widowControl w:val="false"/>
        <w:jc w:val="both"/>
        <w:rPr>
          <w:b/>
          <w:b/>
          <w:bCs/>
          <w:color w:val="000000"/>
          <w:sz w:val="18"/>
          <w:szCs w:val="18"/>
          <w:lang w:val="hu-HU"/>
        </w:rPr>
      </w:pPr>
      <w:r>
        <w:rPr>
          <w:b/>
          <w:bCs/>
          <w:color w:val="000000"/>
          <w:sz w:val="18"/>
          <w:szCs w:val="18"/>
          <w:lang w:val="hu-HU"/>
        </w:rPr>
      </w:r>
    </w:p>
    <w:tbl>
      <w:tblPr>
        <w:tblW w:w="9269" w:type="dxa"/>
        <w:jc w:val="left"/>
        <w:tblInd w:w="84" w:type="dxa"/>
        <w:tblCellMar>
          <w:top w:w="0" w:type="dxa"/>
          <w:left w:w="60" w:type="dxa"/>
          <w:bottom w:w="0" w:type="dxa"/>
          <w:right w:w="60" w:type="dxa"/>
        </w:tblCellMar>
        <w:tblLook w:firstRow="0" w:noVBand="0" w:lastRow="0" w:firstColumn="0" w:lastColumn="0" w:noHBand="0" w:val="0000"/>
      </w:tblPr>
      <w:tblGrid>
        <w:gridCol w:w="2376"/>
        <w:gridCol w:w="6892"/>
      </w:tblGrid>
      <w:tr>
        <w:trPr/>
        <w:tc>
          <w:tcPr>
            <w:tcW w:w="2376" w:type="dxa"/>
            <w:tcBorders/>
            <w:shd w:fill="auto" w:val="clear"/>
          </w:tcPr>
          <w:p>
            <w:pPr>
              <w:pStyle w:val="Normal"/>
              <w:keepLines/>
              <w:rPr>
                <w:b/>
                <w:b/>
                <w:bCs/>
                <w:sz w:val="18"/>
                <w:szCs w:val="18"/>
                <w:lang w:val="hu-HU"/>
              </w:rPr>
            </w:pPr>
            <w:r>
              <w:rPr>
                <w:b/>
                <w:bCs/>
                <w:sz w:val="18"/>
                <w:szCs w:val="18"/>
                <w:lang w:val="hu-HU"/>
              </w:rPr>
              <w:t>8.1 Ellenőrzési paraméterek</w:t>
            </w:r>
          </w:p>
        </w:tc>
        <w:tc>
          <w:tcPr>
            <w:tcW w:w="6892" w:type="dxa"/>
            <w:tcBorders/>
            <w:shd w:fill="auto" w:val="clear"/>
          </w:tcPr>
          <w:p>
            <w:pPr>
              <w:pStyle w:val="Normal"/>
              <w:keepLines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A termékre és a komponensekre meghatározott munkahelyi expozíciós határértékek:</w:t>
            </w:r>
          </w:p>
          <w:p>
            <w:pPr>
              <w:pStyle w:val="Normal"/>
              <w:keepLines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</w:r>
          </w:p>
          <w:p>
            <w:pPr>
              <w:pStyle w:val="Normal"/>
              <w:keepLines/>
              <w:jc w:val="both"/>
              <w:rPr>
                <w:b/>
                <w:b/>
                <w:sz w:val="18"/>
                <w:szCs w:val="18"/>
                <w:lang w:val="hu-HU"/>
              </w:rPr>
            </w:pPr>
            <w:r>
              <w:rPr>
                <w:b/>
                <w:sz w:val="18"/>
                <w:szCs w:val="18"/>
                <w:lang w:val="hu-HU"/>
              </w:rPr>
              <w:t>Nátrium-hidroxid</w:t>
            </w:r>
          </w:p>
          <w:p>
            <w:pPr>
              <w:pStyle w:val="Normal"/>
              <w:keepLines/>
              <w:jc w:val="both"/>
              <w:rPr>
                <w:sz w:val="18"/>
                <w:szCs w:val="18"/>
                <w:vertAlign w:val="superscript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ÁK: 2 mg/m</w:t>
            </w:r>
            <w:r>
              <w:rPr>
                <w:sz w:val="18"/>
                <w:szCs w:val="18"/>
                <w:vertAlign w:val="superscript"/>
                <w:lang w:val="hu-HU"/>
              </w:rPr>
              <w:t>3</w:t>
            </w:r>
          </w:p>
          <w:p>
            <w:pPr>
              <w:pStyle w:val="Normal"/>
              <w:keepLines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CK: 2 mg/m</w:t>
            </w:r>
            <w:r>
              <w:rPr>
                <w:sz w:val="18"/>
                <w:szCs w:val="18"/>
                <w:vertAlign w:val="superscript"/>
                <w:lang w:val="hu-HU"/>
              </w:rPr>
              <w:t>3</w:t>
            </w:r>
          </w:p>
        </w:tc>
      </w:tr>
      <w:tr>
        <w:trPr/>
        <w:tc>
          <w:tcPr>
            <w:tcW w:w="2376" w:type="dxa"/>
            <w:tcBorders/>
            <w:shd w:fill="auto" w:val="clear"/>
          </w:tcPr>
          <w:p>
            <w:pPr>
              <w:pStyle w:val="Normal"/>
              <w:keepLines/>
              <w:rPr>
                <w:b/>
                <w:b/>
                <w:bCs/>
                <w:sz w:val="18"/>
                <w:szCs w:val="18"/>
                <w:lang w:val="hu-HU"/>
              </w:rPr>
            </w:pPr>
            <w:r>
              <w:rPr>
                <w:b/>
                <w:bCs/>
                <w:sz w:val="18"/>
                <w:szCs w:val="18"/>
                <w:lang w:val="hu-HU"/>
              </w:rPr>
              <w:t>8.2 Az expozíció ellenőrzése</w:t>
            </w:r>
          </w:p>
        </w:tc>
        <w:tc>
          <w:tcPr>
            <w:tcW w:w="6892" w:type="dxa"/>
            <w:tcBorders/>
            <w:shd w:fill="auto" w:val="clear"/>
          </w:tcPr>
          <w:p>
            <w:pPr>
              <w:pStyle w:val="Default"/>
              <w:jc w:val="both"/>
              <w:rPr>
                <w:rFonts w:ascii="Times New Roman" w:hAnsi="Times New Roman" w:cs="Times New Roman"/>
                <w:sz w:val="18"/>
                <w:szCs w:val="18"/>
                <w:lang w:val="hu-HU"/>
              </w:rPr>
            </w:pPr>
            <w:r>
              <w:rPr>
                <w:rFonts w:cs="Times New Roman" w:ascii="Times New Roman" w:hAnsi="Times New Roman"/>
                <w:sz w:val="18"/>
                <w:szCs w:val="18"/>
                <w:lang w:val="hu-HU"/>
              </w:rPr>
              <w:t>Általános védő- és higiéniai intézkedések:</w:t>
            </w:r>
          </w:p>
          <w:p>
            <w:pPr>
              <w:pStyle w:val="Default"/>
              <w:jc w:val="both"/>
              <w:rPr>
                <w:rFonts w:ascii="Times New Roman" w:hAnsi="Times New Roman" w:cs="Times New Roman"/>
                <w:sz w:val="18"/>
                <w:szCs w:val="18"/>
                <w:lang w:val="hu-HU"/>
              </w:rPr>
            </w:pPr>
            <w:r>
              <w:rPr>
                <w:rFonts w:cs="Times New Roman" w:ascii="Times New Roman" w:hAnsi="Times New Roman"/>
                <w:sz w:val="18"/>
                <w:szCs w:val="18"/>
                <w:lang w:val="hu-HU"/>
              </w:rPr>
              <w:t>Tartsa távol élelmiszerektől, italoktól és állateledeltől. Azonnal távolítsa el az összes átitatott és szennyezett ruházatot. A munkaszünetek előtt és a munka végén mosson kezet. Ne lélegezzen be gázokat/füstöket/aeroszolokat. Kerülje a bőrrel való érintkezést. Kerülje a szemmel és a bőrrel való érintkezést.</w:t>
            </w:r>
          </w:p>
        </w:tc>
      </w:tr>
      <w:tr>
        <w:trPr/>
        <w:tc>
          <w:tcPr>
            <w:tcW w:w="2376" w:type="dxa"/>
            <w:tcBorders/>
            <w:shd w:fill="auto" w:val="clear"/>
          </w:tcPr>
          <w:p>
            <w:pPr>
              <w:pStyle w:val="Normal"/>
              <w:keepLines/>
              <w:rPr>
                <w:bCs/>
                <w:sz w:val="18"/>
                <w:szCs w:val="18"/>
                <w:lang w:val="hu-HU"/>
              </w:rPr>
            </w:pPr>
            <w:r>
              <w:rPr>
                <w:bCs/>
                <w:sz w:val="18"/>
                <w:szCs w:val="18"/>
                <w:lang w:val="hu-HU"/>
              </w:rPr>
              <w:t>8.2.2 Egyéni védőeszközök</w:t>
            </w:r>
          </w:p>
        </w:tc>
        <w:tc>
          <w:tcPr>
            <w:tcW w:w="6892" w:type="dxa"/>
            <w:tcBorders/>
            <w:shd w:fill="auto" w:val="clear"/>
          </w:tcPr>
          <w:p>
            <w:pPr>
              <w:pStyle w:val="Default"/>
              <w:jc w:val="both"/>
              <w:rPr>
                <w:rFonts w:ascii="Times New Roman" w:hAnsi="Times New Roman" w:cs="Times New Roman"/>
                <w:sz w:val="18"/>
                <w:szCs w:val="18"/>
                <w:lang w:val="hu-HU"/>
              </w:rPr>
            </w:pPr>
            <w:r>
              <w:rPr>
                <w:rFonts w:cs="Times New Roman" w:ascii="Times New Roman" w:hAnsi="Times New Roman"/>
                <w:sz w:val="18"/>
                <w:szCs w:val="18"/>
                <w:lang w:val="hu-HU"/>
              </w:rPr>
            </w:r>
          </w:p>
        </w:tc>
      </w:tr>
      <w:tr>
        <w:trPr/>
        <w:tc>
          <w:tcPr>
            <w:tcW w:w="2376" w:type="dxa"/>
            <w:tcBorders/>
            <w:shd w:fill="auto" w:val="clear"/>
          </w:tcPr>
          <w:p>
            <w:pPr>
              <w:pStyle w:val="Normal"/>
              <w:keepLines/>
              <w:rPr>
                <w:bCs/>
                <w:sz w:val="18"/>
                <w:szCs w:val="18"/>
                <w:lang w:val="hu-HU"/>
              </w:rPr>
            </w:pPr>
            <w:r>
              <w:rPr>
                <w:bCs/>
                <w:sz w:val="18"/>
                <w:szCs w:val="18"/>
                <w:lang w:val="hu-HU"/>
              </w:rPr>
              <w:t>Légzésvédelem:</w:t>
            </w:r>
          </w:p>
        </w:tc>
        <w:tc>
          <w:tcPr>
            <w:tcW w:w="6892" w:type="dxa"/>
            <w:tcBorders/>
            <w:shd w:fill="auto" w:val="clear"/>
          </w:tcPr>
          <w:p>
            <w:pPr>
              <w:pStyle w:val="Normal"/>
              <w:keepLines/>
              <w:jc w:val="both"/>
              <w:rPr>
                <w:color w:val="000000"/>
                <w:sz w:val="18"/>
                <w:szCs w:val="18"/>
                <w:lang w:val="hu-HU" w:eastAsia="en-GB"/>
              </w:rPr>
            </w:pPr>
            <w:r>
              <w:rPr>
                <w:color w:val="000000"/>
                <w:sz w:val="18"/>
                <w:szCs w:val="18"/>
                <w:lang w:val="hu-HU" w:eastAsia="en-GB"/>
              </w:rPr>
              <w:t>Nem szükséges.</w:t>
            </w:r>
          </w:p>
          <w:p>
            <w:pPr>
              <w:pStyle w:val="Normal"/>
              <w:keepLines/>
              <w:jc w:val="both"/>
              <w:rPr>
                <w:sz w:val="18"/>
                <w:szCs w:val="18"/>
                <w:lang w:val="hu-HU"/>
              </w:rPr>
            </w:pPr>
            <w:r>
              <w:rPr>
                <w:color w:val="000000"/>
                <w:sz w:val="18"/>
                <w:szCs w:val="18"/>
                <w:lang w:val="hu-HU" w:eastAsia="en-GB"/>
              </w:rPr>
              <w:t>EU szabvány: EN 141</w:t>
            </w:r>
          </w:p>
        </w:tc>
      </w:tr>
      <w:tr>
        <w:trPr/>
        <w:tc>
          <w:tcPr>
            <w:tcW w:w="2376" w:type="dxa"/>
            <w:tcBorders/>
            <w:shd w:fill="auto" w:val="clear"/>
          </w:tcPr>
          <w:p>
            <w:pPr>
              <w:pStyle w:val="Normal"/>
              <w:keepLines/>
              <w:rPr>
                <w:bCs/>
                <w:sz w:val="18"/>
                <w:szCs w:val="18"/>
                <w:lang w:val="hu-HU"/>
              </w:rPr>
            </w:pPr>
            <w:r>
              <w:rPr>
                <w:bCs/>
                <w:sz w:val="18"/>
                <w:szCs w:val="18"/>
                <w:lang w:val="hu-HU"/>
              </w:rPr>
              <w:t>Kézvédelem:</w:t>
            </w:r>
          </w:p>
        </w:tc>
        <w:tc>
          <w:tcPr>
            <w:tcW w:w="6892" w:type="dxa"/>
            <w:tcBorders/>
            <w:shd w:fill="auto" w:val="clear"/>
          </w:tcPr>
          <w:p>
            <w:pPr>
              <w:pStyle w:val="Normal"/>
              <w:jc w:val="both"/>
              <w:rPr>
                <w:color w:val="000000"/>
                <w:sz w:val="18"/>
                <w:szCs w:val="18"/>
                <w:lang w:val="hu-HU" w:eastAsia="en-GB"/>
              </w:rPr>
            </w:pPr>
            <w:r>
              <w:rPr>
                <w:color w:val="000000"/>
                <w:sz w:val="18"/>
                <w:szCs w:val="18"/>
                <w:lang w:val="hu-HU" w:eastAsia="en-GB"/>
              </w:rPr>
              <w:t>Védőkesztyű.</w:t>
            </w:r>
          </w:p>
          <w:p>
            <w:pPr>
              <w:pStyle w:val="Normal"/>
              <w:jc w:val="both"/>
              <w:rPr>
                <w:color w:val="000000"/>
                <w:sz w:val="18"/>
                <w:szCs w:val="18"/>
                <w:lang w:val="hu-HU" w:eastAsia="en-GB"/>
              </w:rPr>
            </w:pPr>
            <w:r>
              <w:rPr/>
              <w:drawing>
                <wp:inline distT="0" distB="0" distL="0" distR="0">
                  <wp:extent cx="596900" cy="596900"/>
                  <wp:effectExtent l="0" t="0" r="0" b="0"/>
                  <wp:docPr id="2" name="Kép 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Kép 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6900" cy="596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"/>
              <w:jc w:val="both"/>
              <w:rPr>
                <w:color w:val="000000"/>
                <w:sz w:val="18"/>
                <w:szCs w:val="18"/>
                <w:lang w:val="hu-HU" w:eastAsia="en-GB"/>
              </w:rPr>
            </w:pPr>
            <w:r>
              <w:rPr>
                <w:color w:val="000000"/>
                <w:sz w:val="18"/>
                <w:szCs w:val="18"/>
                <w:lang w:val="hu-HU" w:eastAsia="en-GB"/>
              </w:rPr>
              <w:t>EU szabvány: EN 374</w:t>
            </w:r>
          </w:p>
          <w:p>
            <w:pPr>
              <w:pStyle w:val="Normal"/>
              <w:jc w:val="both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  <w:lang w:val="hu-HU" w:eastAsia="en-GB"/>
              </w:rPr>
              <w:t xml:space="preserve">EN 374 szabványnak megfelelő védőkesztyűt (vegyszereknek ellenálló) ajánlott viselni. </w:t>
            </w:r>
            <w:r>
              <w:rPr>
                <w:sz w:val="18"/>
                <w:szCs w:val="18"/>
              </w:rPr>
              <w:t>A termékkel történő hosszabb és ismételt érintkezésnél, figyelembe kell venni, hogy a kesztyű átázási ideje a gyakorlatban jóval rövidebb lehet, mint az EN 374 szabványnál megadott idő.</w:t>
            </w:r>
          </w:p>
          <w:p>
            <w:pPr>
              <w:pStyle w:val="Normal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 védőkesztyű alkalmasságát minden esetben az adott munkahelynek megfelelően kell vizsgálni. (pl mechanikai és hő igénybevételét, a termék kompatibilitását, antisztatikus hatását, stb.) Az első kopásra utaló jelnél a védőkesztyűt azonnal le kell cserélni. A kesztyű gyártójának utasításait és a mindenkori szabályzatok alapján meghatározottakat minden esetben be kell tartani. Javasoljuk, hogy az üzemi használatot érintően egyeztessen kézápolási tervet együttműködve a kesztyűgyártókkal, illetve a szakszervezetekkel.</w:t>
            </w:r>
          </w:p>
        </w:tc>
      </w:tr>
      <w:tr>
        <w:trPr>
          <w:trHeight w:val="398" w:hRule="atLeast"/>
        </w:trPr>
        <w:tc>
          <w:tcPr>
            <w:tcW w:w="2376" w:type="dxa"/>
            <w:tcBorders/>
            <w:shd w:fill="auto" w:val="clear"/>
          </w:tcPr>
          <w:p>
            <w:pPr>
              <w:pStyle w:val="Standard"/>
              <w:spacing w:lineRule="auto" w:line="360"/>
              <w:rPr>
                <w:rFonts w:ascii="Times New Roman" w:hAnsi="Times New Roman" w:cs="Times New Roman"/>
                <w:sz w:val="18"/>
                <w:szCs w:val="18"/>
                <w:lang w:val="hu-HU"/>
              </w:rPr>
            </w:pPr>
            <w:r>
              <w:rPr>
                <w:rFonts w:cs="Times New Roman" w:ascii="Times New Roman" w:hAnsi="Times New Roman"/>
                <w:sz w:val="18"/>
                <w:szCs w:val="18"/>
                <w:lang w:val="hu-HU"/>
              </w:rPr>
              <w:t>Szemvédelem:</w:t>
            </w:r>
          </w:p>
        </w:tc>
        <w:tc>
          <w:tcPr>
            <w:tcW w:w="6892" w:type="dxa"/>
            <w:tcBorders/>
            <w:shd w:fill="auto" w:val="clear"/>
          </w:tcPr>
          <w:p>
            <w:pPr>
              <w:pStyle w:val="Normal"/>
              <w:jc w:val="both"/>
              <w:rPr>
                <w:color w:val="000000"/>
                <w:sz w:val="18"/>
                <w:szCs w:val="18"/>
                <w:lang w:val="hu-HU" w:eastAsia="en-GB"/>
              </w:rPr>
            </w:pPr>
            <w:r>
              <w:rPr>
                <w:color w:val="000000"/>
                <w:sz w:val="18"/>
                <w:szCs w:val="18"/>
                <w:lang w:val="hu-HU" w:eastAsia="en-GB"/>
              </w:rPr>
              <w:t xml:space="preserve">Szorosan záró, oldalvédelemmel ellátott munkavédelmi szemüveg. </w:t>
            </w:r>
          </w:p>
          <w:p>
            <w:pPr>
              <w:pStyle w:val="Normal"/>
              <w:jc w:val="both"/>
              <w:rPr>
                <w:color w:val="000000"/>
                <w:sz w:val="18"/>
                <w:szCs w:val="18"/>
                <w:lang w:val="hu-HU" w:eastAsia="en-GB"/>
              </w:rPr>
            </w:pPr>
            <w:r>
              <w:rPr/>
              <w:drawing>
                <wp:inline distT="0" distB="0" distL="0" distR="0">
                  <wp:extent cx="674370" cy="673100"/>
                  <wp:effectExtent l="0" t="0" r="0" b="0"/>
                  <wp:docPr id="3" name="Kép 2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Kép 2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4370" cy="673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"/>
              <w:jc w:val="both"/>
              <w:rPr>
                <w:color w:val="000000"/>
                <w:sz w:val="18"/>
                <w:szCs w:val="18"/>
                <w:lang w:val="hu-HU" w:eastAsia="en-GB"/>
              </w:rPr>
            </w:pPr>
            <w:r>
              <w:rPr>
                <w:color w:val="000000"/>
                <w:sz w:val="18"/>
                <w:szCs w:val="18"/>
                <w:lang w:val="hu-HU" w:eastAsia="en-GB"/>
              </w:rPr>
              <w:t>EU szabvány: EN166</w:t>
            </w:r>
          </w:p>
        </w:tc>
      </w:tr>
      <w:tr>
        <w:trPr>
          <w:trHeight w:val="700" w:hRule="atLeast"/>
        </w:trPr>
        <w:tc>
          <w:tcPr>
            <w:tcW w:w="2376" w:type="dxa"/>
            <w:tcBorders/>
            <w:shd w:fill="auto" w:val="clear"/>
          </w:tcPr>
          <w:p>
            <w:pPr>
              <w:pStyle w:val="Standard"/>
              <w:spacing w:lineRule="auto" w:line="360"/>
              <w:rPr>
                <w:rFonts w:ascii="Times New Roman" w:hAnsi="Times New Roman" w:cs="Times New Roman"/>
                <w:sz w:val="18"/>
                <w:szCs w:val="18"/>
                <w:lang w:val="hu-HU"/>
              </w:rPr>
            </w:pPr>
            <w:r>
              <w:rPr>
                <w:rFonts w:cs="Times New Roman" w:ascii="Times New Roman" w:hAnsi="Times New Roman"/>
                <w:sz w:val="18"/>
                <w:szCs w:val="18"/>
                <w:lang w:val="hu-HU"/>
              </w:rPr>
              <w:t xml:space="preserve">Testvédelem: </w:t>
            </w:r>
          </w:p>
        </w:tc>
        <w:tc>
          <w:tcPr>
            <w:tcW w:w="6892" w:type="dxa"/>
            <w:tcBorders/>
            <w:shd w:fill="auto" w:val="clear"/>
          </w:tcPr>
          <w:p>
            <w:pPr>
              <w:pStyle w:val="Standard"/>
              <w:jc w:val="both"/>
              <w:rPr>
                <w:rFonts w:ascii="Times New Roman" w:hAnsi="Times New Roman" w:cs="Times New Roman"/>
                <w:sz w:val="18"/>
                <w:szCs w:val="18"/>
                <w:lang w:val="hu-HU"/>
              </w:rPr>
            </w:pPr>
            <w:r>
              <w:rPr>
                <w:rFonts w:cs="Times New Roman" w:ascii="Times New Roman" w:hAnsi="Times New Roman"/>
                <w:sz w:val="18"/>
                <w:szCs w:val="18"/>
                <w:lang w:val="hu-HU"/>
              </w:rPr>
              <w:t xml:space="preserve">Hosszú ujjú védőruha viselése ajánlott. </w:t>
            </w:r>
          </w:p>
          <w:p>
            <w:pPr>
              <w:pStyle w:val="Standard"/>
              <w:jc w:val="both"/>
              <w:rPr>
                <w:rFonts w:ascii="Times New Roman" w:hAnsi="Times New Roman" w:cs="Times New Roman"/>
                <w:sz w:val="18"/>
                <w:szCs w:val="18"/>
                <w:lang w:val="hu-HU"/>
              </w:rPr>
            </w:pPr>
            <w:r>
              <w:rPr>
                <w:rFonts w:cs="Times New Roman" w:ascii="Times New Roman" w:hAnsi="Times New Roman"/>
                <w:sz w:val="18"/>
                <w:szCs w:val="18"/>
                <w:lang w:val="hu-HU"/>
              </w:rPr>
              <w:t>EU szabvány: EN 344</w:t>
            </w:r>
          </w:p>
        </w:tc>
      </w:tr>
    </w:tbl>
    <w:p>
      <w:pPr>
        <w:pStyle w:val="Normal"/>
        <w:widowControl w:val="false"/>
        <w:jc w:val="both"/>
        <w:rPr>
          <w:color w:val="000000"/>
          <w:sz w:val="14"/>
          <w:szCs w:val="14"/>
          <w:lang w:val="hu-HU"/>
        </w:rPr>
      </w:pPr>
      <w:r>
        <w:rPr>
          <w:color w:val="000000"/>
          <w:sz w:val="14"/>
          <w:szCs w:val="14"/>
          <w:lang w:val="hu-HU"/>
        </w:rPr>
      </w:r>
    </w:p>
    <w:tbl>
      <w:tblPr>
        <w:tblW w:w="9360" w:type="dxa"/>
        <w:jc w:val="left"/>
        <w:tblInd w:w="0" w:type="dxa"/>
        <w:tblCellMar>
          <w:top w:w="0" w:type="dxa"/>
          <w:left w:w="71" w:type="dxa"/>
          <w:bottom w:w="0" w:type="dxa"/>
          <w:right w:w="71" w:type="dxa"/>
        </w:tblCellMar>
        <w:tblLook w:firstRow="0" w:noVBand="0" w:lastRow="0" w:firstColumn="0" w:lastColumn="0" w:noHBand="0" w:val="0000"/>
      </w:tblPr>
      <w:tblGrid>
        <w:gridCol w:w="9360"/>
      </w:tblGrid>
      <w:tr>
        <w:trPr/>
        <w:tc>
          <w:tcPr>
            <w:tcW w:w="9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  <w:lang w:val="hu-HU"/>
              </w:rPr>
              <w:t>9. SZAKASZ: Fizikai és kémiai tulajdonságok</w:t>
            </w:r>
          </w:p>
        </w:tc>
      </w:tr>
    </w:tbl>
    <w:p>
      <w:pPr>
        <w:pStyle w:val="Normal"/>
        <w:widowControl w:val="false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</w:r>
    </w:p>
    <w:tbl>
      <w:tblPr>
        <w:tblW w:w="9330" w:type="dxa"/>
        <w:jc w:val="left"/>
        <w:tblInd w:w="0" w:type="dxa"/>
        <w:tblCellMar>
          <w:top w:w="0" w:type="dxa"/>
          <w:left w:w="60" w:type="dxa"/>
          <w:bottom w:w="0" w:type="dxa"/>
          <w:right w:w="60" w:type="dxa"/>
        </w:tblCellMar>
        <w:tblLook w:firstRow="1" w:noVBand="0" w:lastRow="1" w:firstColumn="1" w:lastColumn="1" w:noHBand="0" w:val="01e0"/>
      </w:tblPr>
      <w:tblGrid>
        <w:gridCol w:w="2469"/>
        <w:gridCol w:w="6860"/>
      </w:tblGrid>
      <w:tr>
        <w:trPr/>
        <w:tc>
          <w:tcPr>
            <w:tcW w:w="2469" w:type="dxa"/>
            <w:tcBorders/>
            <w:shd w:fill="auto" w:val="clear"/>
          </w:tcPr>
          <w:p>
            <w:pPr>
              <w:pStyle w:val="Normal"/>
              <w:keepLines/>
              <w:tabs>
                <w:tab w:val="clear" w:pos="850"/>
                <w:tab w:val="left" w:pos="180" w:leader="none"/>
                <w:tab w:val="left" w:pos="7650" w:leader="none"/>
              </w:tabs>
              <w:rPr>
                <w:b/>
                <w:b/>
                <w:bCs/>
                <w:sz w:val="18"/>
                <w:szCs w:val="18"/>
                <w:lang w:val="hu-HU"/>
              </w:rPr>
            </w:pPr>
            <w:r>
              <w:rPr>
                <w:b/>
                <w:bCs/>
                <w:sz w:val="18"/>
                <w:szCs w:val="18"/>
                <w:lang w:val="hu-HU"/>
              </w:rPr>
              <w:t>9.1 Az alapvető fizikai és kémiai tulajdonságokra vonatkozó információ:</w:t>
            </w:r>
          </w:p>
        </w:tc>
        <w:tc>
          <w:tcPr>
            <w:tcW w:w="6860" w:type="dxa"/>
            <w:tcBorders/>
            <w:shd w:fill="auto" w:val="clear"/>
          </w:tcPr>
          <w:p>
            <w:pPr>
              <w:pStyle w:val="Normal"/>
              <w:keepLines/>
              <w:tabs>
                <w:tab w:val="clear" w:pos="850"/>
                <w:tab w:val="left" w:pos="180" w:leader="none"/>
                <w:tab w:val="left" w:pos="7650" w:leader="none"/>
              </w:tabs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Külső jellemzők: folyadék</w:t>
            </w:r>
          </w:p>
          <w:p>
            <w:pPr>
              <w:pStyle w:val="Normal"/>
              <w:keepLines/>
              <w:tabs>
                <w:tab w:val="clear" w:pos="850"/>
                <w:tab w:val="left" w:pos="180" w:leader="none"/>
                <w:tab w:val="left" w:pos="7650" w:leader="none"/>
              </w:tabs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Szín: világos barna</w:t>
            </w:r>
          </w:p>
          <w:p>
            <w:pPr>
              <w:pStyle w:val="Normal"/>
              <w:keepLines/>
              <w:tabs>
                <w:tab w:val="clear" w:pos="850"/>
                <w:tab w:val="left" w:pos="180" w:leader="none"/>
                <w:tab w:val="left" w:pos="7650" w:leader="none"/>
              </w:tabs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Szag: jellegzetes</w:t>
            </w:r>
          </w:p>
          <w:p>
            <w:pPr>
              <w:pStyle w:val="Normal"/>
              <w:keepLines/>
              <w:tabs>
                <w:tab w:val="clear" w:pos="850"/>
                <w:tab w:val="left" w:pos="180" w:leader="none"/>
                <w:tab w:val="left" w:pos="7650" w:leader="none"/>
              </w:tabs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 xml:space="preserve">Szagküszöbérték: nem meghatározott </w:t>
            </w:r>
          </w:p>
          <w:p>
            <w:pPr>
              <w:pStyle w:val="Normal"/>
              <w:keepLines/>
              <w:tabs>
                <w:tab w:val="clear" w:pos="850"/>
                <w:tab w:val="left" w:pos="180" w:leader="none"/>
                <w:tab w:val="left" w:pos="7650" w:leader="none"/>
              </w:tabs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 xml:space="preserve">pH-érték: nem meghatározott </w:t>
            </w:r>
          </w:p>
          <w:p>
            <w:pPr>
              <w:pStyle w:val="Normal"/>
              <w:keepLines/>
              <w:tabs>
                <w:tab w:val="clear" w:pos="850"/>
                <w:tab w:val="left" w:pos="180" w:leader="none"/>
                <w:tab w:val="left" w:pos="7650" w:leader="none"/>
              </w:tabs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Olvadáspont/fagyáspont: nem meghatározott</w:t>
            </w:r>
          </w:p>
          <w:p>
            <w:pPr>
              <w:pStyle w:val="Normal"/>
              <w:keepLines/>
              <w:tabs>
                <w:tab w:val="clear" w:pos="850"/>
                <w:tab w:val="left" w:pos="180" w:leader="none"/>
                <w:tab w:val="left" w:pos="7650" w:leader="none"/>
              </w:tabs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Kezdő forráspont és forrásponttartomány: nem meghatározott</w:t>
            </w:r>
          </w:p>
          <w:p>
            <w:pPr>
              <w:pStyle w:val="Normal"/>
              <w:keepLines/>
              <w:tabs>
                <w:tab w:val="clear" w:pos="850"/>
                <w:tab w:val="left" w:pos="180" w:leader="none"/>
                <w:tab w:val="left" w:pos="7650" w:leader="none"/>
              </w:tabs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Lobbanáspont: nem meghatározott</w:t>
            </w:r>
          </w:p>
          <w:p>
            <w:pPr>
              <w:pStyle w:val="Normal"/>
              <w:keepLines/>
              <w:tabs>
                <w:tab w:val="clear" w:pos="850"/>
                <w:tab w:val="left" w:pos="180" w:leader="none"/>
                <w:tab w:val="left" w:pos="7650" w:leader="none"/>
              </w:tabs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Párolgási sebesség: nem meghatározott</w:t>
            </w:r>
          </w:p>
          <w:p>
            <w:pPr>
              <w:pStyle w:val="Normal"/>
              <w:keepLines/>
              <w:tabs>
                <w:tab w:val="clear" w:pos="850"/>
                <w:tab w:val="left" w:pos="180" w:leader="none"/>
                <w:tab w:val="left" w:pos="7650" w:leader="none"/>
              </w:tabs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 xml:space="preserve">Gyúlékonyság (szilárd, gázhalmazállapot): </w:t>
            </w:r>
            <w:r>
              <w:rPr>
                <w:color w:val="000000"/>
                <w:sz w:val="18"/>
                <w:szCs w:val="18"/>
                <w:lang w:val="hu-HU"/>
              </w:rPr>
              <w:t>nem meghatározott</w:t>
            </w:r>
          </w:p>
          <w:p>
            <w:pPr>
              <w:pStyle w:val="Normal"/>
              <w:keepLines/>
              <w:tabs>
                <w:tab w:val="clear" w:pos="850"/>
                <w:tab w:val="left" w:pos="180" w:leader="none"/>
                <w:tab w:val="left" w:pos="6405" w:leader="none"/>
                <w:tab w:val="left" w:pos="7650" w:leader="none"/>
              </w:tabs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 xml:space="preserve">Felső/alsó gyulladási határ vagy robbanási tartományok: </w:t>
            </w:r>
            <w:r>
              <w:rPr>
                <w:color w:val="000000"/>
                <w:sz w:val="18"/>
                <w:szCs w:val="18"/>
                <w:lang w:val="hu-HU"/>
              </w:rPr>
              <w:t>nem meghatározott</w:t>
            </w:r>
            <w:r>
              <w:rPr>
                <w:sz w:val="18"/>
                <w:szCs w:val="18"/>
                <w:lang w:val="hu-HU"/>
              </w:rPr>
              <w:tab/>
            </w:r>
          </w:p>
          <w:p>
            <w:pPr>
              <w:pStyle w:val="Normal"/>
              <w:keepLines/>
              <w:tabs>
                <w:tab w:val="clear" w:pos="850"/>
                <w:tab w:val="left" w:pos="180" w:leader="none"/>
                <w:tab w:val="left" w:pos="7650" w:leader="none"/>
              </w:tabs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Gőznyomás: nem meghatározott</w:t>
            </w:r>
          </w:p>
          <w:p>
            <w:pPr>
              <w:pStyle w:val="Normal"/>
              <w:keepLines/>
              <w:tabs>
                <w:tab w:val="clear" w:pos="850"/>
                <w:tab w:val="left" w:pos="180" w:leader="none"/>
                <w:tab w:val="left" w:pos="7650" w:leader="none"/>
              </w:tabs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Gőzsűrűség: nem meghatározott</w:t>
            </w:r>
          </w:p>
          <w:p>
            <w:pPr>
              <w:pStyle w:val="Normal"/>
              <w:keepLines/>
              <w:tabs>
                <w:tab w:val="clear" w:pos="850"/>
                <w:tab w:val="left" w:pos="180" w:leader="none"/>
                <w:tab w:val="left" w:pos="7650" w:leader="none"/>
              </w:tabs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 xml:space="preserve">Relatív sűrűség: nem meghatározott </w:t>
            </w:r>
          </w:p>
          <w:p>
            <w:pPr>
              <w:pStyle w:val="Normal"/>
              <w:keepLines/>
              <w:tabs>
                <w:tab w:val="clear" w:pos="850"/>
                <w:tab w:val="left" w:pos="180" w:leader="none"/>
                <w:tab w:val="left" w:pos="7650" w:leader="none"/>
              </w:tabs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Oldékonyság (oldékonyságok): vízben oldódik</w:t>
            </w:r>
          </w:p>
          <w:p>
            <w:pPr>
              <w:pStyle w:val="Normal"/>
              <w:keepLines/>
              <w:tabs>
                <w:tab w:val="clear" w:pos="850"/>
                <w:tab w:val="left" w:pos="180" w:leader="none"/>
                <w:tab w:val="left" w:pos="7650" w:leader="none"/>
              </w:tabs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Megoszlási hányados: n-oktanol/víz: nem meghatározott</w:t>
            </w:r>
          </w:p>
          <w:p>
            <w:pPr>
              <w:pStyle w:val="Normal"/>
              <w:keepLines/>
              <w:tabs>
                <w:tab w:val="clear" w:pos="850"/>
                <w:tab w:val="left" w:pos="180" w:leader="none"/>
                <w:tab w:val="left" w:pos="7650" w:leader="none"/>
              </w:tabs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Öngyulladási hőmérséklet: a termék nem öngyulladó.</w:t>
            </w:r>
          </w:p>
          <w:p>
            <w:pPr>
              <w:pStyle w:val="Normal"/>
              <w:keepLines/>
              <w:tabs>
                <w:tab w:val="clear" w:pos="850"/>
                <w:tab w:val="left" w:pos="180" w:leader="none"/>
                <w:tab w:val="left" w:pos="7650" w:leader="none"/>
              </w:tabs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Bomlási hőmérséklet: nem meghatározott</w:t>
            </w:r>
          </w:p>
          <w:p>
            <w:pPr>
              <w:pStyle w:val="Normal"/>
              <w:keepLines/>
              <w:tabs>
                <w:tab w:val="clear" w:pos="850"/>
                <w:tab w:val="left" w:pos="180" w:leader="none"/>
                <w:tab w:val="left" w:pos="7650" w:leader="none"/>
              </w:tabs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Viszkozitás: nem meghatározott</w:t>
            </w:r>
          </w:p>
          <w:p>
            <w:pPr>
              <w:pStyle w:val="Normal"/>
              <w:keepLines/>
              <w:tabs>
                <w:tab w:val="clear" w:pos="850"/>
                <w:tab w:val="left" w:pos="180" w:leader="none"/>
                <w:tab w:val="left" w:pos="7650" w:leader="none"/>
              </w:tabs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Robbanásveszélyes tulajdonságok: a termék nem jelent robbanásveszélyt.</w:t>
            </w:r>
          </w:p>
          <w:p>
            <w:pPr>
              <w:pStyle w:val="Normal"/>
              <w:keepLines/>
              <w:tabs>
                <w:tab w:val="clear" w:pos="850"/>
                <w:tab w:val="left" w:pos="180" w:leader="none"/>
                <w:tab w:val="left" w:pos="7650" w:leader="none"/>
              </w:tabs>
              <w:jc w:val="both"/>
              <w:rPr>
                <w:vanish/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Oxidáló tulajdonságok: nem meghatározott</w:t>
            </w:r>
          </w:p>
        </w:tc>
      </w:tr>
      <w:tr>
        <w:trPr/>
        <w:tc>
          <w:tcPr>
            <w:tcW w:w="2469" w:type="dxa"/>
            <w:tcBorders/>
            <w:shd w:fill="auto" w:val="clear"/>
          </w:tcPr>
          <w:p>
            <w:pPr>
              <w:pStyle w:val="Normal"/>
              <w:keepLines/>
              <w:tabs>
                <w:tab w:val="clear" w:pos="850"/>
                <w:tab w:val="left" w:pos="180" w:leader="none"/>
                <w:tab w:val="left" w:pos="7650" w:leader="none"/>
              </w:tabs>
              <w:rPr>
                <w:b/>
                <w:b/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 xml:space="preserve"> </w:t>
            </w:r>
            <w:r>
              <w:rPr>
                <w:b/>
                <w:sz w:val="18"/>
                <w:szCs w:val="18"/>
                <w:lang w:val="hu-HU"/>
              </w:rPr>
              <w:t>9.2. Egyéb információk:</w:t>
            </w:r>
          </w:p>
        </w:tc>
        <w:tc>
          <w:tcPr>
            <w:tcW w:w="6860" w:type="dxa"/>
            <w:tcBorders/>
            <w:shd w:fill="auto" w:val="clear"/>
          </w:tcPr>
          <w:p>
            <w:pPr>
              <w:pStyle w:val="Normal"/>
              <w:keepLines/>
              <w:tabs>
                <w:tab w:val="clear" w:pos="850"/>
                <w:tab w:val="left" w:pos="180" w:leader="none"/>
                <w:tab w:val="left" w:pos="7650" w:leader="none"/>
              </w:tabs>
              <w:jc w:val="both"/>
              <w:rPr>
                <w:vanish/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Nem áll rendelkezésre további kísérleti adat.</w:t>
            </w:r>
          </w:p>
        </w:tc>
      </w:tr>
    </w:tbl>
    <w:p>
      <w:pPr>
        <w:pStyle w:val="Normal"/>
        <w:widowControl w:val="false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</w:r>
    </w:p>
    <w:tbl>
      <w:tblPr>
        <w:tblW w:w="9360" w:type="dxa"/>
        <w:jc w:val="left"/>
        <w:tblInd w:w="0" w:type="dxa"/>
        <w:tblCellMar>
          <w:top w:w="0" w:type="dxa"/>
          <w:left w:w="71" w:type="dxa"/>
          <w:bottom w:w="0" w:type="dxa"/>
          <w:right w:w="71" w:type="dxa"/>
        </w:tblCellMar>
        <w:tblLook w:firstRow="0" w:noVBand="0" w:lastRow="0" w:firstColumn="0" w:lastColumn="0" w:noHBand="0" w:val="0000"/>
      </w:tblPr>
      <w:tblGrid>
        <w:gridCol w:w="9360"/>
      </w:tblGrid>
      <w:tr>
        <w:trPr/>
        <w:tc>
          <w:tcPr>
            <w:tcW w:w="9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MS Sans Serif" w:hAnsi="MS Sans Serif" w:cs="MS Sans Serif"/>
                <w:lang w:val="hu-HU"/>
              </w:rPr>
            </w:pPr>
            <w:r>
              <w:rPr>
                <w:b/>
                <w:bCs/>
                <w:color w:val="000000"/>
                <w:sz w:val="18"/>
                <w:szCs w:val="18"/>
                <w:lang w:val="hu-HU"/>
              </w:rPr>
              <w:t>10. SZAKASZ: Stabilitás és reakciókészség</w:t>
            </w:r>
          </w:p>
        </w:tc>
      </w:tr>
    </w:tbl>
    <w:p>
      <w:pPr>
        <w:pStyle w:val="Normal"/>
        <w:widowControl w:val="false"/>
        <w:jc w:val="center"/>
        <w:rPr>
          <w:b/>
          <w:b/>
          <w:bCs/>
          <w:color w:val="000000"/>
          <w:sz w:val="18"/>
          <w:szCs w:val="18"/>
          <w:lang w:val="hu-HU"/>
        </w:rPr>
      </w:pPr>
      <w:r>
        <w:rPr>
          <w:b/>
          <w:bCs/>
          <w:color w:val="000000"/>
          <w:sz w:val="18"/>
          <w:szCs w:val="18"/>
          <w:lang w:val="hu-HU"/>
        </w:rPr>
      </w:r>
    </w:p>
    <w:tbl>
      <w:tblPr>
        <w:tblW w:w="9269" w:type="dxa"/>
        <w:jc w:val="left"/>
        <w:tblInd w:w="60" w:type="dxa"/>
        <w:tblCellMar>
          <w:top w:w="0" w:type="dxa"/>
          <w:left w:w="60" w:type="dxa"/>
          <w:bottom w:w="0" w:type="dxa"/>
          <w:right w:w="60" w:type="dxa"/>
        </w:tblCellMar>
        <w:tblLook w:firstRow="0" w:noVBand="0" w:lastRow="0" w:firstColumn="0" w:lastColumn="0" w:noHBand="0" w:val="0000"/>
      </w:tblPr>
      <w:tblGrid>
        <w:gridCol w:w="2409"/>
        <w:gridCol w:w="6859"/>
      </w:tblGrid>
      <w:tr>
        <w:trPr>
          <w:trHeight w:val="443" w:hRule="atLeast"/>
        </w:trPr>
        <w:tc>
          <w:tcPr>
            <w:tcW w:w="2409" w:type="dxa"/>
            <w:tcBorders/>
            <w:shd w:fill="auto" w:val="clear"/>
          </w:tcPr>
          <w:p>
            <w:pPr>
              <w:pStyle w:val="Normal"/>
              <w:keepLines/>
              <w:rPr>
                <w:b/>
                <w:b/>
                <w:bCs/>
                <w:sz w:val="18"/>
                <w:szCs w:val="18"/>
                <w:lang w:val="hu-HU"/>
              </w:rPr>
            </w:pPr>
            <w:r>
              <w:rPr>
                <w:b/>
                <w:bCs/>
                <w:sz w:val="18"/>
                <w:szCs w:val="18"/>
                <w:lang w:val="hu-HU"/>
              </w:rPr>
              <w:t>10.1 Reakciókészség:</w:t>
            </w:r>
          </w:p>
        </w:tc>
        <w:tc>
          <w:tcPr>
            <w:tcW w:w="6859" w:type="dxa"/>
            <w:tcBorders/>
            <w:shd w:fill="auto" w:val="clear"/>
          </w:tcPr>
          <w:p>
            <w:pPr>
              <w:pStyle w:val="Normal"/>
              <w:keepLines/>
              <w:jc w:val="both"/>
              <w:rPr>
                <w:sz w:val="18"/>
                <w:szCs w:val="18"/>
                <w:lang w:val="hu-HU"/>
              </w:rPr>
            </w:pPr>
            <w:r>
              <w:rPr>
                <w:color w:val="000000"/>
                <w:sz w:val="18"/>
                <w:szCs w:val="18"/>
                <w:lang w:val="hu-HU"/>
              </w:rPr>
              <w:t>Nem ismert.</w:t>
            </w:r>
          </w:p>
        </w:tc>
      </w:tr>
      <w:tr>
        <w:trPr/>
        <w:tc>
          <w:tcPr>
            <w:tcW w:w="2409" w:type="dxa"/>
            <w:tcBorders/>
            <w:shd w:fill="auto" w:val="clear"/>
          </w:tcPr>
          <w:p>
            <w:pPr>
              <w:pStyle w:val="Normal"/>
              <w:keepLines/>
              <w:rPr>
                <w:b/>
                <w:b/>
                <w:bCs/>
                <w:sz w:val="18"/>
                <w:szCs w:val="18"/>
                <w:lang w:val="hu-HU"/>
              </w:rPr>
            </w:pPr>
            <w:r>
              <w:rPr>
                <w:b/>
                <w:bCs/>
                <w:sz w:val="18"/>
                <w:szCs w:val="18"/>
                <w:lang w:val="hu-HU"/>
              </w:rPr>
              <w:t xml:space="preserve">10.2 Kémiai stabilitás: </w:t>
            </w:r>
          </w:p>
        </w:tc>
        <w:tc>
          <w:tcPr>
            <w:tcW w:w="6859" w:type="dxa"/>
            <w:tcBorders/>
            <w:shd w:fill="auto" w:val="clear"/>
          </w:tcPr>
          <w:p>
            <w:pPr>
              <w:pStyle w:val="Normal"/>
              <w:keepLines/>
              <w:jc w:val="both"/>
              <w:rPr>
                <w:sz w:val="18"/>
                <w:szCs w:val="18"/>
                <w:lang w:val="hu-HU"/>
              </w:rPr>
            </w:pPr>
            <w:r>
              <w:rPr>
                <w:color w:val="000000"/>
                <w:sz w:val="18"/>
                <w:szCs w:val="18"/>
                <w:lang w:val="hu-HU"/>
              </w:rPr>
              <w:t>Rendeltetésszerű használat esetén nem bomlik.</w:t>
            </w:r>
          </w:p>
        </w:tc>
      </w:tr>
      <w:tr>
        <w:trPr/>
        <w:tc>
          <w:tcPr>
            <w:tcW w:w="2409" w:type="dxa"/>
            <w:tcBorders/>
            <w:shd w:fill="auto" w:val="clear"/>
          </w:tcPr>
          <w:p>
            <w:pPr>
              <w:pStyle w:val="Normal"/>
              <w:keepLines/>
              <w:rPr>
                <w:b/>
                <w:b/>
                <w:bCs/>
                <w:sz w:val="18"/>
                <w:szCs w:val="18"/>
                <w:lang w:val="hu-HU"/>
              </w:rPr>
            </w:pPr>
            <w:r>
              <w:rPr>
                <w:b/>
                <w:bCs/>
                <w:sz w:val="18"/>
                <w:szCs w:val="18"/>
                <w:lang w:val="hu-HU"/>
              </w:rPr>
              <w:t>10.3 A veszélyes reakciók lehetősége:</w:t>
            </w:r>
          </w:p>
        </w:tc>
        <w:tc>
          <w:tcPr>
            <w:tcW w:w="6859" w:type="dxa"/>
            <w:tcBorders/>
            <w:shd w:fill="auto" w:val="clear"/>
          </w:tcPr>
          <w:p>
            <w:pPr>
              <w:pStyle w:val="Normal"/>
              <w:keepLines/>
              <w:jc w:val="both"/>
              <w:rPr>
                <w:bCs/>
                <w:sz w:val="18"/>
                <w:szCs w:val="18"/>
                <w:lang w:val="hu-HU"/>
              </w:rPr>
            </w:pPr>
            <w:r>
              <w:rPr>
                <w:color w:val="000000"/>
                <w:sz w:val="18"/>
                <w:szCs w:val="18"/>
                <w:lang w:val="hu-HU"/>
              </w:rPr>
              <w:t>Veszélyes reakció nem ismert.</w:t>
            </w:r>
          </w:p>
        </w:tc>
      </w:tr>
      <w:tr>
        <w:trPr/>
        <w:tc>
          <w:tcPr>
            <w:tcW w:w="2409" w:type="dxa"/>
            <w:tcBorders/>
            <w:shd w:fill="auto" w:val="clear"/>
          </w:tcPr>
          <w:p>
            <w:pPr>
              <w:pStyle w:val="Normal"/>
              <w:keepLines/>
              <w:rPr>
                <w:b/>
                <w:b/>
                <w:bCs/>
                <w:sz w:val="18"/>
                <w:szCs w:val="18"/>
                <w:lang w:val="hu-HU"/>
              </w:rPr>
            </w:pPr>
            <w:r>
              <w:rPr>
                <w:b/>
                <w:bCs/>
                <w:sz w:val="18"/>
                <w:szCs w:val="18"/>
                <w:lang w:val="hu-HU"/>
              </w:rPr>
              <w:t>10.4 Kerülendő körülmények:</w:t>
            </w:r>
          </w:p>
        </w:tc>
        <w:tc>
          <w:tcPr>
            <w:tcW w:w="6859" w:type="dxa"/>
            <w:tcBorders/>
            <w:shd w:fill="auto" w:val="clear"/>
          </w:tcPr>
          <w:p>
            <w:pPr>
              <w:pStyle w:val="Normal"/>
              <w:keepLines/>
              <w:jc w:val="both"/>
              <w:rPr>
                <w:bCs/>
                <w:sz w:val="18"/>
                <w:szCs w:val="18"/>
                <w:lang w:val="hu-HU"/>
              </w:rPr>
            </w:pPr>
            <w:r>
              <w:rPr>
                <w:color w:val="000000"/>
                <w:sz w:val="18"/>
                <w:szCs w:val="18"/>
                <w:lang w:val="hu-HU"/>
              </w:rPr>
              <w:t>Nem ismert.</w:t>
            </w:r>
          </w:p>
        </w:tc>
      </w:tr>
      <w:tr>
        <w:trPr/>
        <w:tc>
          <w:tcPr>
            <w:tcW w:w="2409" w:type="dxa"/>
            <w:tcBorders/>
            <w:shd w:fill="auto" w:val="clear"/>
          </w:tcPr>
          <w:p>
            <w:pPr>
              <w:pStyle w:val="Normal"/>
              <w:keepLines/>
              <w:rPr>
                <w:b/>
                <w:b/>
                <w:bCs/>
                <w:sz w:val="18"/>
                <w:szCs w:val="18"/>
                <w:lang w:val="hu-HU"/>
              </w:rPr>
            </w:pPr>
            <w:r>
              <w:rPr>
                <w:b/>
                <w:bCs/>
                <w:sz w:val="18"/>
                <w:szCs w:val="18"/>
                <w:lang w:val="hu-HU"/>
              </w:rPr>
              <w:t>10.5 Nem összeférhető anyagok:</w:t>
            </w:r>
          </w:p>
        </w:tc>
        <w:tc>
          <w:tcPr>
            <w:tcW w:w="6859" w:type="dxa"/>
            <w:tcBorders/>
            <w:shd w:fill="auto" w:val="clear"/>
          </w:tcPr>
          <w:p>
            <w:pPr>
              <w:pStyle w:val="Normal"/>
              <w:keepLines/>
              <w:jc w:val="both"/>
              <w:rPr>
                <w:bCs/>
                <w:sz w:val="18"/>
                <w:szCs w:val="18"/>
                <w:lang w:val="hu-HU"/>
              </w:rPr>
            </w:pPr>
            <w:r>
              <w:rPr>
                <w:color w:val="000000"/>
                <w:sz w:val="18"/>
                <w:szCs w:val="18"/>
                <w:lang w:val="hu-HU"/>
              </w:rPr>
              <w:t>Nem ismert.</w:t>
            </w:r>
          </w:p>
        </w:tc>
      </w:tr>
      <w:tr>
        <w:trPr/>
        <w:tc>
          <w:tcPr>
            <w:tcW w:w="2409" w:type="dxa"/>
            <w:tcBorders/>
            <w:shd w:fill="auto" w:val="clear"/>
          </w:tcPr>
          <w:p>
            <w:pPr>
              <w:pStyle w:val="Normal"/>
              <w:keepLines/>
              <w:rPr>
                <w:b/>
                <w:b/>
                <w:bCs/>
                <w:sz w:val="18"/>
                <w:szCs w:val="18"/>
                <w:lang w:val="hu-HU"/>
              </w:rPr>
            </w:pPr>
            <w:r>
              <w:rPr>
                <w:b/>
                <w:bCs/>
                <w:sz w:val="18"/>
                <w:szCs w:val="18"/>
                <w:lang w:val="hu-HU"/>
              </w:rPr>
              <w:t>10.6 Veszélyes bomlástermékek:</w:t>
            </w:r>
          </w:p>
        </w:tc>
        <w:tc>
          <w:tcPr>
            <w:tcW w:w="6859" w:type="dxa"/>
            <w:tcBorders/>
            <w:shd w:fill="auto" w:val="clear"/>
          </w:tcPr>
          <w:p>
            <w:pPr>
              <w:pStyle w:val="Normal"/>
              <w:keepLines/>
              <w:jc w:val="both"/>
              <w:rPr>
                <w:bCs/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Veszélyes bomlástermékek nem ismertek.</w:t>
            </w:r>
          </w:p>
        </w:tc>
      </w:tr>
    </w:tbl>
    <w:p>
      <w:pPr>
        <w:pStyle w:val="Normal"/>
        <w:widowControl w:val="false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</w:r>
    </w:p>
    <w:tbl>
      <w:tblPr>
        <w:tblW w:w="9360" w:type="dxa"/>
        <w:jc w:val="left"/>
        <w:tblInd w:w="0" w:type="dxa"/>
        <w:tblCellMar>
          <w:top w:w="0" w:type="dxa"/>
          <w:left w:w="71" w:type="dxa"/>
          <w:bottom w:w="0" w:type="dxa"/>
          <w:right w:w="71" w:type="dxa"/>
        </w:tblCellMar>
        <w:tblLook w:firstRow="0" w:noVBand="0" w:lastRow="0" w:firstColumn="0" w:lastColumn="0" w:noHBand="0" w:val="0000"/>
      </w:tblPr>
      <w:tblGrid>
        <w:gridCol w:w="9360"/>
      </w:tblGrid>
      <w:tr>
        <w:trPr/>
        <w:tc>
          <w:tcPr>
            <w:tcW w:w="9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MS Sans Serif" w:hAnsi="MS Sans Serif" w:cs="MS Sans Serif"/>
                <w:lang w:val="hu-HU"/>
              </w:rPr>
            </w:pPr>
            <w:r>
              <w:rPr>
                <w:b/>
                <w:bCs/>
                <w:color w:val="000000"/>
                <w:sz w:val="18"/>
                <w:szCs w:val="18"/>
                <w:lang w:val="hu-HU"/>
              </w:rPr>
              <w:t>11. SZAKASZ: Toxikológiai információk</w:t>
            </w:r>
          </w:p>
        </w:tc>
      </w:tr>
    </w:tbl>
    <w:p>
      <w:pPr>
        <w:pStyle w:val="Normal"/>
        <w:widowControl w:val="false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</w:r>
    </w:p>
    <w:tbl>
      <w:tblPr>
        <w:tblW w:w="9269" w:type="dxa"/>
        <w:jc w:val="left"/>
        <w:tblInd w:w="60" w:type="dxa"/>
        <w:tblCellMar>
          <w:top w:w="0" w:type="dxa"/>
          <w:left w:w="60" w:type="dxa"/>
          <w:bottom w:w="0" w:type="dxa"/>
          <w:right w:w="60" w:type="dxa"/>
        </w:tblCellMar>
        <w:tblLook w:firstRow="0" w:noVBand="0" w:lastRow="0" w:firstColumn="0" w:lastColumn="0" w:noHBand="0" w:val="0000"/>
      </w:tblPr>
      <w:tblGrid>
        <w:gridCol w:w="2406"/>
        <w:gridCol w:w="6862"/>
      </w:tblGrid>
      <w:tr>
        <w:trPr/>
        <w:tc>
          <w:tcPr>
            <w:tcW w:w="2406" w:type="dxa"/>
            <w:tcBorders/>
            <w:shd w:fill="auto" w:val="clear"/>
          </w:tcPr>
          <w:p>
            <w:pPr>
              <w:pStyle w:val="Normal"/>
              <w:keepLines/>
              <w:jc w:val="both"/>
              <w:rPr>
                <w:b/>
                <w:b/>
                <w:bCs/>
                <w:sz w:val="18"/>
                <w:szCs w:val="18"/>
                <w:lang w:val="hu-HU"/>
              </w:rPr>
            </w:pPr>
            <w:r>
              <w:rPr>
                <w:b/>
                <w:bCs/>
                <w:sz w:val="18"/>
                <w:szCs w:val="18"/>
                <w:lang w:val="hu-HU"/>
              </w:rPr>
              <w:t>11.1. A toxikológiai hatásokra vonatkozó információ</w:t>
            </w:r>
          </w:p>
        </w:tc>
        <w:tc>
          <w:tcPr>
            <w:tcW w:w="6862" w:type="dxa"/>
            <w:tcBorders/>
            <w:shd w:fill="auto" w:val="clear"/>
          </w:tcPr>
          <w:p>
            <w:pPr>
              <w:pStyle w:val="Normal"/>
              <w:keepLines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</w:r>
          </w:p>
        </w:tc>
      </w:tr>
      <w:tr>
        <w:trPr>
          <w:trHeight w:val="2664" w:hRule="atLeast"/>
        </w:trPr>
        <w:tc>
          <w:tcPr>
            <w:tcW w:w="2406" w:type="dxa"/>
            <w:tcBorders/>
            <w:shd w:fill="auto" w:val="clear"/>
          </w:tcPr>
          <w:p>
            <w:pPr>
              <w:pStyle w:val="Normal"/>
              <w:keepLines/>
              <w:jc w:val="both"/>
              <w:rPr>
                <w:bCs/>
                <w:sz w:val="18"/>
                <w:szCs w:val="18"/>
                <w:lang w:val="hu-HU"/>
              </w:rPr>
            </w:pPr>
            <w:r>
              <w:rPr>
                <w:bCs/>
                <w:sz w:val="18"/>
                <w:szCs w:val="18"/>
                <w:lang w:val="hu-HU"/>
              </w:rPr>
              <w:t>Akut toxicitás:</w:t>
            </w:r>
          </w:p>
        </w:tc>
        <w:tc>
          <w:tcPr>
            <w:tcW w:w="6862" w:type="dxa"/>
            <w:tcBorders/>
            <w:shd w:fill="auto" w:val="clear"/>
          </w:tcPr>
          <w:p>
            <w:pPr>
              <w:pStyle w:val="Normal"/>
              <w:keepLines/>
              <w:jc w:val="both"/>
              <w:rPr>
                <w:bCs/>
                <w:sz w:val="18"/>
                <w:szCs w:val="18"/>
                <w:lang w:val="hu-HU"/>
              </w:rPr>
            </w:pPr>
            <w:r>
              <w:rPr>
                <w:bCs/>
                <w:sz w:val="18"/>
                <w:szCs w:val="18"/>
                <w:lang w:val="hu-HU"/>
              </w:rPr>
              <w:t>A rendelkezésre álló adatok alapján az osztályozás kritériumai nem teljesülnek.</w:t>
            </w:r>
          </w:p>
          <w:p>
            <w:pPr>
              <w:pStyle w:val="Normal"/>
              <w:keepLines/>
              <w:jc w:val="both"/>
              <w:rPr>
                <w:bCs/>
                <w:sz w:val="18"/>
                <w:szCs w:val="18"/>
                <w:lang w:val="hu-HU"/>
              </w:rPr>
            </w:pPr>
            <w:r>
              <w:rPr>
                <w:bCs/>
                <w:sz w:val="18"/>
                <w:szCs w:val="18"/>
                <w:lang w:val="hu-HU"/>
              </w:rPr>
              <w:t>ATE (szájon át), LD50: 5900 mg/kg.</w:t>
            </w:r>
          </w:p>
          <w:p>
            <w:pPr>
              <w:pStyle w:val="Normal"/>
              <w:keepLines/>
              <w:jc w:val="both"/>
              <w:rPr>
                <w:bCs/>
                <w:sz w:val="18"/>
                <w:szCs w:val="18"/>
                <w:lang w:val="hu-HU"/>
              </w:rPr>
            </w:pPr>
            <w:r>
              <w:rPr>
                <w:bCs/>
                <w:sz w:val="18"/>
                <w:szCs w:val="18"/>
                <w:lang w:val="hu-HU"/>
              </w:rPr>
            </w:r>
          </w:p>
          <w:p>
            <w:pPr>
              <w:pStyle w:val="Normal"/>
              <w:keepLines/>
              <w:jc w:val="both"/>
              <w:rPr>
                <w:bCs/>
                <w:sz w:val="18"/>
                <w:szCs w:val="18"/>
                <w:lang w:val="hu-HU"/>
              </w:rPr>
            </w:pPr>
            <w:r>
              <w:rPr>
                <w:bCs/>
                <w:sz w:val="18"/>
                <w:szCs w:val="18"/>
                <w:lang w:val="hu-HU"/>
              </w:rPr>
              <w:t>Releváns komponensekre vonatkozó akut toxicitás:</w:t>
            </w:r>
          </w:p>
          <w:tbl>
            <w:tblPr>
              <w:tblW w:w="6740" w:type="dxa"/>
              <w:jc w:val="left"/>
              <w:tblInd w:w="0" w:type="dxa"/>
              <w:tblCellMar>
                <w:top w:w="0" w:type="dxa"/>
                <w:left w:w="108" w:type="dxa"/>
                <w:bottom w:w="0" w:type="dxa"/>
                <w:right w:w="108" w:type="dxa"/>
              </w:tblCellMar>
              <w:tblLook w:firstRow="1" w:noVBand="1" w:lastRow="0" w:firstColumn="1" w:lastColumn="0" w:noHBand="0" w:val="04a0"/>
            </w:tblPr>
            <w:tblGrid>
              <w:gridCol w:w="1685"/>
              <w:gridCol w:w="1685"/>
              <w:gridCol w:w="1685"/>
              <w:gridCol w:w="1684"/>
            </w:tblGrid>
            <w:tr>
              <w:trPr>
                <w:trHeight w:val="257" w:hRule="atLeast"/>
              </w:trPr>
              <w:tc>
                <w:tcPr>
                  <w:tcW w:w="168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Kémiai azonosító(k)</w:t>
                  </w:r>
                </w:p>
              </w:tc>
              <w:tc>
                <w:tcPr>
                  <w:tcW w:w="3370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Akut toxicitás</w:t>
                  </w:r>
                </w:p>
              </w:tc>
              <w:tc>
                <w:tcPr>
                  <w:tcW w:w="16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</w:r>
                </w:p>
              </w:tc>
            </w:tr>
            <w:tr>
              <w:trPr>
                <w:trHeight w:val="238" w:hRule="atLeast"/>
              </w:trPr>
              <w:tc>
                <w:tcPr>
                  <w:tcW w:w="1685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rPr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  <w:shd w:fill="FFFFFF" w:val="clear"/>
                    </w:rPr>
                    <w:t>Tetranátrium-etilén-diamin-tetraacetát</w:t>
                  </w:r>
                </w:p>
              </w:tc>
              <w:tc>
                <w:tcPr>
                  <w:tcW w:w="168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LD50 szájon át</w:t>
                  </w:r>
                </w:p>
              </w:tc>
              <w:tc>
                <w:tcPr>
                  <w:tcW w:w="168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rPr/>
                  </w:pPr>
                  <w:r>
                    <w:rPr>
                      <w:sz w:val="18"/>
                      <w:szCs w:val="18"/>
                    </w:rPr>
                    <w:t>500 mg/kg</w:t>
                  </w:r>
                </w:p>
              </w:tc>
              <w:tc>
                <w:tcPr>
                  <w:tcW w:w="16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patkány</w:t>
                  </w:r>
                </w:p>
              </w:tc>
            </w:tr>
            <w:tr>
              <w:trPr>
                <w:trHeight w:val="176" w:hRule="atLeast"/>
              </w:trPr>
              <w:tc>
                <w:tcPr>
                  <w:tcW w:w="1685" w:type="dxa"/>
                  <w:vMerge w:val="continue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</w:r>
                </w:p>
              </w:tc>
              <w:tc>
                <w:tcPr>
                  <w:tcW w:w="168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LD50 bőrön át</w:t>
                  </w:r>
                </w:p>
              </w:tc>
              <w:tc>
                <w:tcPr>
                  <w:tcW w:w="168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rPr/>
                  </w:pPr>
                  <w:r>
                    <w:rPr/>
                  </w:r>
                </w:p>
              </w:tc>
              <w:tc>
                <w:tcPr>
                  <w:tcW w:w="16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nyúl</w:t>
                  </w:r>
                </w:p>
              </w:tc>
            </w:tr>
            <w:tr>
              <w:trPr>
                <w:trHeight w:val="176" w:hRule="atLeast"/>
              </w:trPr>
              <w:tc>
                <w:tcPr>
                  <w:tcW w:w="1685" w:type="dxa"/>
                  <w:vMerge w:val="continue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</w:r>
                </w:p>
              </w:tc>
              <w:tc>
                <w:tcPr>
                  <w:tcW w:w="168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LC50 belélegezve</w:t>
                  </w:r>
                </w:p>
              </w:tc>
              <w:tc>
                <w:tcPr>
                  <w:tcW w:w="168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rPr/>
                  </w:pPr>
                  <w:r>
                    <w:rPr/>
                  </w:r>
                </w:p>
              </w:tc>
              <w:tc>
                <w:tcPr>
                  <w:tcW w:w="16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patkány</w:t>
                  </w:r>
                </w:p>
              </w:tc>
            </w:tr>
            <w:tr>
              <w:trPr>
                <w:trHeight w:val="176" w:hRule="atLeast"/>
              </w:trPr>
              <w:tc>
                <w:tcPr>
                  <w:tcW w:w="1685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Nátrium-hidroxid</w:t>
                  </w:r>
                </w:p>
              </w:tc>
              <w:tc>
                <w:tcPr>
                  <w:tcW w:w="168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LD50 szájon át</w:t>
                  </w:r>
                </w:p>
              </w:tc>
              <w:tc>
                <w:tcPr>
                  <w:tcW w:w="168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2000 mg/kg</w:t>
                  </w:r>
                </w:p>
              </w:tc>
              <w:tc>
                <w:tcPr>
                  <w:tcW w:w="16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patkány</w:t>
                  </w:r>
                </w:p>
              </w:tc>
            </w:tr>
            <w:tr>
              <w:trPr>
                <w:trHeight w:val="176" w:hRule="atLeast"/>
              </w:trPr>
              <w:tc>
                <w:tcPr>
                  <w:tcW w:w="1685" w:type="dxa"/>
                  <w:vMerge w:val="continue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</w:r>
                </w:p>
              </w:tc>
              <w:tc>
                <w:tcPr>
                  <w:tcW w:w="168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LD50 bőrön át</w:t>
                  </w:r>
                </w:p>
              </w:tc>
              <w:tc>
                <w:tcPr>
                  <w:tcW w:w="168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</w:r>
                </w:p>
              </w:tc>
              <w:tc>
                <w:tcPr>
                  <w:tcW w:w="16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nyúl</w:t>
                  </w:r>
                </w:p>
              </w:tc>
            </w:tr>
            <w:tr>
              <w:trPr>
                <w:trHeight w:val="176" w:hRule="atLeast"/>
              </w:trPr>
              <w:tc>
                <w:tcPr>
                  <w:tcW w:w="1685" w:type="dxa"/>
                  <w:vMerge w:val="continue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</w:r>
                </w:p>
              </w:tc>
              <w:tc>
                <w:tcPr>
                  <w:tcW w:w="168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LC50 belélegezve</w:t>
                  </w:r>
                </w:p>
              </w:tc>
              <w:tc>
                <w:tcPr>
                  <w:tcW w:w="168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</w:r>
                </w:p>
              </w:tc>
              <w:tc>
                <w:tcPr>
                  <w:tcW w:w="16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patkány</w:t>
                  </w:r>
                </w:p>
              </w:tc>
            </w:tr>
          </w:tbl>
          <w:p>
            <w:pPr>
              <w:pStyle w:val="Normal"/>
              <w:keepLines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</w:r>
          </w:p>
        </w:tc>
      </w:tr>
      <w:tr>
        <w:trPr/>
        <w:tc>
          <w:tcPr>
            <w:tcW w:w="2406" w:type="dxa"/>
            <w:tcBorders/>
            <w:shd w:fill="auto" w:val="clear"/>
          </w:tcPr>
          <w:p>
            <w:pPr>
              <w:pStyle w:val="Normal"/>
              <w:keepLines/>
              <w:jc w:val="both"/>
              <w:rPr>
                <w:bCs/>
                <w:sz w:val="18"/>
                <w:szCs w:val="18"/>
                <w:lang w:val="hu-HU"/>
              </w:rPr>
            </w:pPr>
            <w:r>
              <w:rPr>
                <w:bCs/>
                <w:sz w:val="18"/>
                <w:szCs w:val="18"/>
                <w:lang w:val="hu-HU" w:eastAsia="en-GB"/>
              </w:rPr>
              <w:t>Bőrkorrózió/bőrirritáció:</w:t>
            </w:r>
          </w:p>
        </w:tc>
        <w:tc>
          <w:tcPr>
            <w:tcW w:w="6862" w:type="dxa"/>
            <w:tcBorders/>
            <w:shd w:fill="auto" w:val="clear"/>
          </w:tcPr>
          <w:p>
            <w:pPr>
              <w:pStyle w:val="Normal"/>
              <w:keepLines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Bőrirritációt okoz.</w:t>
            </w:r>
          </w:p>
        </w:tc>
      </w:tr>
      <w:tr>
        <w:trPr>
          <w:trHeight w:val="347" w:hRule="atLeast"/>
        </w:trPr>
        <w:tc>
          <w:tcPr>
            <w:tcW w:w="2406" w:type="dxa"/>
            <w:tcBorders/>
            <w:shd w:fill="auto" w:val="clear"/>
          </w:tcPr>
          <w:p>
            <w:pPr>
              <w:pStyle w:val="Normal"/>
              <w:keepLines/>
              <w:jc w:val="both"/>
              <w:rPr>
                <w:bCs/>
                <w:sz w:val="18"/>
                <w:szCs w:val="18"/>
                <w:lang w:val="hu-HU"/>
              </w:rPr>
            </w:pPr>
            <w:r>
              <w:rPr>
                <w:bCs/>
                <w:sz w:val="18"/>
                <w:szCs w:val="18"/>
                <w:lang w:val="hu-HU"/>
              </w:rPr>
              <w:t xml:space="preserve">Súlyos szemkárosodás/szemirritáció: </w:t>
            </w:r>
          </w:p>
        </w:tc>
        <w:tc>
          <w:tcPr>
            <w:tcW w:w="6862" w:type="dxa"/>
            <w:tcBorders/>
            <w:shd w:fill="auto" w:val="clear"/>
          </w:tcPr>
          <w:p>
            <w:pPr>
              <w:pStyle w:val="Normal"/>
              <w:keepLines/>
              <w:jc w:val="both"/>
              <w:rPr>
                <w:sz w:val="18"/>
                <w:szCs w:val="18"/>
                <w:lang w:val="hu-HU"/>
              </w:rPr>
            </w:pPr>
            <w:r>
              <w:rPr>
                <w:bCs/>
                <w:sz w:val="18"/>
                <w:szCs w:val="18"/>
                <w:lang w:val="hu-HU"/>
              </w:rPr>
              <w:t>Súlyos szemkárosodást okoz.</w:t>
            </w:r>
          </w:p>
        </w:tc>
      </w:tr>
      <w:tr>
        <w:trPr/>
        <w:tc>
          <w:tcPr>
            <w:tcW w:w="2406" w:type="dxa"/>
            <w:tcBorders/>
            <w:shd w:fill="auto" w:val="clear"/>
          </w:tcPr>
          <w:p>
            <w:pPr>
              <w:pStyle w:val="Normal"/>
              <w:keepLines/>
              <w:jc w:val="both"/>
              <w:rPr>
                <w:bCs/>
                <w:sz w:val="18"/>
                <w:szCs w:val="18"/>
                <w:lang w:val="hu-HU"/>
              </w:rPr>
            </w:pPr>
            <w:r>
              <w:rPr>
                <w:bCs/>
                <w:sz w:val="18"/>
                <w:szCs w:val="18"/>
                <w:lang w:val="hu-HU"/>
              </w:rPr>
              <w:t>Légzőszervi vagy bőrszenzibilizáció:</w:t>
            </w:r>
          </w:p>
        </w:tc>
        <w:tc>
          <w:tcPr>
            <w:tcW w:w="6862" w:type="dxa"/>
            <w:tcBorders/>
            <w:shd w:fill="auto" w:val="clear"/>
          </w:tcPr>
          <w:p>
            <w:pPr>
              <w:pStyle w:val="Normal"/>
              <w:keepLines/>
              <w:jc w:val="both"/>
              <w:rPr>
                <w:sz w:val="18"/>
                <w:szCs w:val="18"/>
                <w:lang w:val="hu-HU"/>
              </w:rPr>
            </w:pPr>
            <w:r>
              <w:rPr>
                <w:bCs/>
                <w:sz w:val="18"/>
                <w:szCs w:val="18"/>
                <w:lang w:val="hu-HU"/>
              </w:rPr>
              <w:t>A rendelkezésre álló adatok alapján az osztályozás kritériumai nem teljesülnek.</w:t>
            </w:r>
          </w:p>
        </w:tc>
      </w:tr>
      <w:tr>
        <w:trPr/>
        <w:tc>
          <w:tcPr>
            <w:tcW w:w="2406" w:type="dxa"/>
            <w:tcBorders/>
            <w:shd w:fill="auto" w:val="clear"/>
          </w:tcPr>
          <w:p>
            <w:pPr>
              <w:pStyle w:val="Normal"/>
              <w:keepLines/>
              <w:jc w:val="both"/>
              <w:rPr>
                <w:bCs/>
                <w:sz w:val="18"/>
                <w:szCs w:val="18"/>
                <w:lang w:val="hu-HU"/>
              </w:rPr>
            </w:pPr>
            <w:r>
              <w:rPr>
                <w:bCs/>
                <w:sz w:val="18"/>
                <w:szCs w:val="18"/>
                <w:lang w:val="hu-HU"/>
              </w:rPr>
              <w:t>Csírasejt-mutagenitás:</w:t>
            </w:r>
          </w:p>
        </w:tc>
        <w:tc>
          <w:tcPr>
            <w:tcW w:w="6862" w:type="dxa"/>
            <w:tcBorders/>
            <w:shd w:fill="auto" w:val="clear"/>
          </w:tcPr>
          <w:p>
            <w:pPr>
              <w:pStyle w:val="Normal"/>
              <w:keepLines/>
              <w:jc w:val="both"/>
              <w:rPr>
                <w:bCs/>
                <w:sz w:val="18"/>
                <w:szCs w:val="18"/>
                <w:lang w:val="hu-HU"/>
              </w:rPr>
            </w:pPr>
            <w:r>
              <w:rPr>
                <w:bCs/>
                <w:sz w:val="18"/>
                <w:szCs w:val="18"/>
                <w:lang w:val="hu-HU"/>
              </w:rPr>
              <w:t>A rendelkezésre álló adatok alapján az osztályozás kritériumai nem teljesülnek.</w:t>
            </w:r>
          </w:p>
        </w:tc>
      </w:tr>
      <w:tr>
        <w:trPr/>
        <w:tc>
          <w:tcPr>
            <w:tcW w:w="2406" w:type="dxa"/>
            <w:tcBorders/>
            <w:shd w:fill="auto" w:val="clear"/>
          </w:tcPr>
          <w:p>
            <w:pPr>
              <w:pStyle w:val="Normal"/>
              <w:keepLines/>
              <w:jc w:val="both"/>
              <w:rPr>
                <w:bCs/>
                <w:sz w:val="18"/>
                <w:szCs w:val="18"/>
                <w:lang w:val="hu-HU"/>
              </w:rPr>
            </w:pPr>
            <w:r>
              <w:rPr>
                <w:bCs/>
                <w:sz w:val="18"/>
                <w:szCs w:val="18"/>
                <w:lang w:val="hu-HU"/>
              </w:rPr>
              <w:t>Rákkeltő hatás:</w:t>
            </w:r>
          </w:p>
        </w:tc>
        <w:tc>
          <w:tcPr>
            <w:tcW w:w="6862" w:type="dxa"/>
            <w:tcBorders/>
            <w:shd w:fill="auto" w:val="clear"/>
          </w:tcPr>
          <w:p>
            <w:pPr>
              <w:pStyle w:val="Normal"/>
              <w:jc w:val="both"/>
              <w:rPr/>
            </w:pPr>
            <w:r>
              <w:rPr>
                <w:bCs/>
                <w:sz w:val="18"/>
                <w:szCs w:val="18"/>
                <w:lang w:val="hu-HU"/>
              </w:rPr>
              <w:t>A rendelkezésre álló adatok alapján az osztályozás kritériumai nem teljesülnek.</w:t>
            </w:r>
          </w:p>
        </w:tc>
      </w:tr>
      <w:tr>
        <w:trPr/>
        <w:tc>
          <w:tcPr>
            <w:tcW w:w="2406" w:type="dxa"/>
            <w:tcBorders/>
            <w:shd w:fill="auto" w:val="clear"/>
          </w:tcPr>
          <w:p>
            <w:pPr>
              <w:pStyle w:val="Normal"/>
              <w:keepLines/>
              <w:jc w:val="both"/>
              <w:rPr>
                <w:bCs/>
                <w:sz w:val="18"/>
                <w:szCs w:val="18"/>
                <w:lang w:val="hu-HU"/>
              </w:rPr>
            </w:pPr>
            <w:r>
              <w:rPr>
                <w:bCs/>
                <w:sz w:val="18"/>
                <w:szCs w:val="18"/>
                <w:lang w:val="hu-HU"/>
              </w:rPr>
              <w:t>Reprodukciós toxicitás:</w:t>
            </w:r>
          </w:p>
        </w:tc>
        <w:tc>
          <w:tcPr>
            <w:tcW w:w="6862" w:type="dxa"/>
            <w:tcBorders/>
            <w:shd w:fill="auto" w:val="clear"/>
          </w:tcPr>
          <w:p>
            <w:pPr>
              <w:pStyle w:val="Normal"/>
              <w:jc w:val="both"/>
              <w:rPr/>
            </w:pPr>
            <w:r>
              <w:rPr>
                <w:bCs/>
                <w:sz w:val="18"/>
                <w:szCs w:val="18"/>
                <w:lang w:val="hu-HU"/>
              </w:rPr>
              <w:t>A rendelkezésre álló adatok alapján az osztályozás kritériumai nem teljesülnek.</w:t>
            </w:r>
          </w:p>
        </w:tc>
      </w:tr>
      <w:tr>
        <w:trPr/>
        <w:tc>
          <w:tcPr>
            <w:tcW w:w="2406" w:type="dxa"/>
            <w:tcBorders/>
            <w:shd w:fill="auto" w:val="clear"/>
          </w:tcPr>
          <w:p>
            <w:pPr>
              <w:pStyle w:val="Normal"/>
              <w:keepLines/>
              <w:jc w:val="both"/>
              <w:rPr>
                <w:bCs/>
                <w:sz w:val="18"/>
                <w:szCs w:val="18"/>
                <w:lang w:val="hu-HU"/>
              </w:rPr>
            </w:pPr>
            <w:r>
              <w:rPr>
                <w:bCs/>
                <w:sz w:val="18"/>
                <w:szCs w:val="18"/>
                <w:lang w:val="hu-HU"/>
              </w:rPr>
              <w:t>Egyetlen expozíció utáni célszervi toxicitás (STOT):</w:t>
            </w:r>
          </w:p>
        </w:tc>
        <w:tc>
          <w:tcPr>
            <w:tcW w:w="6862" w:type="dxa"/>
            <w:tcBorders/>
            <w:shd w:fill="auto" w:val="clear"/>
          </w:tcPr>
          <w:p>
            <w:pPr>
              <w:pStyle w:val="Normal"/>
              <w:jc w:val="both"/>
              <w:rPr/>
            </w:pPr>
            <w:r>
              <w:rPr>
                <w:bCs/>
                <w:sz w:val="18"/>
                <w:szCs w:val="18"/>
                <w:lang w:val="hu-HU"/>
              </w:rPr>
              <w:t>A rendelkezésre álló adatok alapján az osztályozás kritériumai nem teljesülnek.</w:t>
            </w:r>
          </w:p>
        </w:tc>
      </w:tr>
      <w:tr>
        <w:trPr>
          <w:trHeight w:val="80" w:hRule="atLeast"/>
        </w:trPr>
        <w:tc>
          <w:tcPr>
            <w:tcW w:w="2406" w:type="dxa"/>
            <w:tcBorders/>
            <w:shd w:fill="auto" w:val="clear"/>
          </w:tcPr>
          <w:p>
            <w:pPr>
              <w:pStyle w:val="Normal"/>
              <w:keepLines/>
              <w:jc w:val="both"/>
              <w:rPr>
                <w:bCs/>
                <w:sz w:val="18"/>
                <w:szCs w:val="18"/>
                <w:lang w:val="hu-HU"/>
              </w:rPr>
            </w:pPr>
            <w:r>
              <w:rPr>
                <w:bCs/>
                <w:sz w:val="18"/>
                <w:szCs w:val="18"/>
                <w:lang w:val="hu-HU"/>
              </w:rPr>
              <w:t>Ismétlődő expozíció utáni célszervi toxicitás (STOT):</w:t>
            </w:r>
          </w:p>
        </w:tc>
        <w:tc>
          <w:tcPr>
            <w:tcW w:w="6862" w:type="dxa"/>
            <w:tcBorders/>
            <w:shd w:fill="auto" w:val="clear"/>
          </w:tcPr>
          <w:p>
            <w:pPr>
              <w:pStyle w:val="Normal"/>
              <w:jc w:val="both"/>
              <w:rPr/>
            </w:pPr>
            <w:r>
              <w:rPr>
                <w:bCs/>
                <w:sz w:val="18"/>
                <w:szCs w:val="18"/>
                <w:lang w:val="hu-HU"/>
              </w:rPr>
              <w:t>A rendelkezésre álló adatok alapján az osztályozás kritériumai nem teljesülnek.</w:t>
            </w:r>
          </w:p>
        </w:tc>
      </w:tr>
      <w:tr>
        <w:trPr/>
        <w:tc>
          <w:tcPr>
            <w:tcW w:w="2406" w:type="dxa"/>
            <w:tcBorders/>
            <w:shd w:fill="auto" w:val="clear"/>
          </w:tcPr>
          <w:p>
            <w:pPr>
              <w:pStyle w:val="Normal"/>
              <w:keepLines/>
              <w:jc w:val="both"/>
              <w:rPr>
                <w:bCs/>
                <w:sz w:val="18"/>
                <w:szCs w:val="18"/>
                <w:lang w:val="hu-HU"/>
              </w:rPr>
            </w:pPr>
            <w:r>
              <w:rPr>
                <w:bCs/>
                <w:sz w:val="18"/>
                <w:szCs w:val="18"/>
                <w:lang w:val="hu-HU"/>
              </w:rPr>
              <w:t>Aspirációs veszély:</w:t>
            </w:r>
          </w:p>
        </w:tc>
        <w:tc>
          <w:tcPr>
            <w:tcW w:w="6862" w:type="dxa"/>
            <w:tcBorders/>
            <w:shd w:fill="auto" w:val="clear"/>
          </w:tcPr>
          <w:p>
            <w:pPr>
              <w:pStyle w:val="Normal"/>
              <w:jc w:val="both"/>
              <w:rPr/>
            </w:pPr>
            <w:r>
              <w:rPr>
                <w:bCs/>
                <w:sz w:val="18"/>
                <w:szCs w:val="18"/>
                <w:lang w:val="hu-HU"/>
              </w:rPr>
              <w:t>A rendelkezésre álló adatok alapján az osztályozás kritériumai nem teljesülnek.</w:t>
            </w:r>
          </w:p>
        </w:tc>
      </w:tr>
    </w:tbl>
    <w:p>
      <w:pPr>
        <w:pStyle w:val="Normal"/>
        <w:widowControl w:val="false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</w:r>
    </w:p>
    <w:p>
      <w:pPr>
        <w:pStyle w:val="Normal"/>
        <w:widowControl w:val="false"/>
        <w:jc w:val="center"/>
        <w:rPr>
          <w:rFonts w:ascii="MS Sans Serif" w:hAnsi="MS Sans Serif" w:cs="MS Sans Serif"/>
          <w:lang w:val="hu-HU"/>
        </w:rPr>
      </w:pPr>
      <w:r>
        <w:rPr>
          <w:b/>
          <w:bCs/>
          <w:color w:val="000000"/>
          <w:sz w:val="18"/>
          <w:szCs w:val="18"/>
          <w:lang w:val="hu-HU"/>
        </w:rPr>
        <w:t>12. SZAKASZ: Ökológiai információk</w:t>
      </w:r>
    </w:p>
    <w:p>
      <w:pPr>
        <w:pStyle w:val="Normal"/>
        <w:widowControl w:val="false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</w:r>
    </w:p>
    <w:p>
      <w:pPr>
        <w:pStyle w:val="Normal"/>
        <w:widowControl w:val="false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</w:r>
    </w:p>
    <w:p>
      <w:pPr>
        <w:pStyle w:val="Normal"/>
        <w:keepLines/>
        <w:rPr>
          <w:b/>
          <w:b/>
          <w:bCs/>
          <w:sz w:val="18"/>
          <w:szCs w:val="18"/>
          <w:lang w:val="hu-HU"/>
        </w:rPr>
      </w:pPr>
      <w:r>
        <w:rPr>
          <w:b/>
          <w:bCs/>
          <w:sz w:val="18"/>
          <w:szCs w:val="18"/>
          <w:lang w:val="hu-HU"/>
        </w:rPr>
        <w:t xml:space="preserve">12.1 Toxicitás: </w:t>
      </w:r>
    </w:p>
    <w:p>
      <w:pPr>
        <w:pStyle w:val="Normal"/>
        <w:keepLines/>
        <w:jc w:val="both"/>
        <w:rPr>
          <w:bCs/>
          <w:sz w:val="18"/>
          <w:szCs w:val="18"/>
          <w:lang w:val="hu-HU" w:eastAsia="en-GB"/>
        </w:rPr>
      </w:pPr>
      <w:r>
        <w:rPr>
          <w:bCs/>
          <w:sz w:val="18"/>
          <w:szCs w:val="18"/>
          <w:lang w:val="hu-HU" w:eastAsia="en-GB"/>
        </w:rPr>
        <w:t>A termékre vonatkozó adatok nem állnak rendelkezésre.</w:t>
      </w:r>
    </w:p>
    <w:p>
      <w:pPr>
        <w:pStyle w:val="Normal"/>
        <w:keepLines/>
        <w:jc w:val="both"/>
        <w:rPr>
          <w:sz w:val="18"/>
          <w:szCs w:val="18"/>
          <w:lang w:val="hu-HU"/>
        </w:rPr>
      </w:pPr>
      <w:r>
        <w:rPr>
          <w:sz w:val="18"/>
          <w:szCs w:val="18"/>
          <w:lang w:val="hu-HU"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keepLines/>
        <w:rPr>
          <w:b/>
          <w:b/>
          <w:bCs/>
          <w:sz w:val="18"/>
          <w:szCs w:val="18"/>
          <w:lang w:val="hu-HU"/>
        </w:rPr>
      </w:pPr>
      <w:r>
        <w:rPr>
          <w:b/>
          <w:bCs/>
          <w:sz w:val="18"/>
          <w:szCs w:val="18"/>
          <w:lang w:val="hu-HU"/>
        </w:rPr>
        <w:t>12.2 Perzisztencia és lebonthatóság:</w:t>
      </w:r>
    </w:p>
    <w:p>
      <w:pPr>
        <w:pStyle w:val="Normal"/>
        <w:keepLines/>
        <w:jc w:val="both"/>
        <w:rPr>
          <w:bCs/>
          <w:sz w:val="18"/>
          <w:szCs w:val="18"/>
          <w:lang w:val="hu-HU"/>
        </w:rPr>
      </w:pPr>
      <w:r>
        <w:rPr>
          <w:bCs/>
          <w:sz w:val="18"/>
          <w:szCs w:val="18"/>
          <w:lang w:val="hu-HU"/>
        </w:rPr>
        <w:t>Biológiailag könnyen lebontható.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keepLines/>
        <w:rPr>
          <w:b/>
          <w:b/>
          <w:bCs/>
          <w:sz w:val="18"/>
          <w:szCs w:val="18"/>
          <w:lang w:val="hu-HU" w:eastAsia="en-GB"/>
        </w:rPr>
      </w:pPr>
      <w:r>
        <w:rPr>
          <w:b/>
          <w:bCs/>
          <w:sz w:val="18"/>
          <w:szCs w:val="18"/>
          <w:lang w:val="hu-HU" w:eastAsia="en-GB"/>
        </w:rPr>
        <w:t>12.3 Bioakkumulációs képesség</w:t>
      </w:r>
    </w:p>
    <w:p>
      <w:pPr>
        <w:pStyle w:val="Normal"/>
        <w:keepLines/>
        <w:jc w:val="both"/>
        <w:rPr>
          <w:bCs/>
          <w:sz w:val="18"/>
          <w:szCs w:val="18"/>
          <w:lang w:val="hu-HU" w:eastAsia="en-GB"/>
        </w:rPr>
      </w:pPr>
      <w:r>
        <w:rPr>
          <w:bCs/>
          <w:sz w:val="18"/>
          <w:szCs w:val="18"/>
          <w:lang w:val="hu-HU" w:eastAsia="en-GB"/>
        </w:rPr>
        <w:t>A termékre vonatkozó adatok nem állnak rendelkezésre.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keepLines/>
        <w:rPr>
          <w:b/>
          <w:b/>
          <w:bCs/>
          <w:sz w:val="18"/>
          <w:szCs w:val="18"/>
          <w:lang w:val="hu-HU" w:eastAsia="en-GB"/>
        </w:rPr>
      </w:pPr>
      <w:r>
        <w:rPr>
          <w:b/>
          <w:bCs/>
          <w:sz w:val="18"/>
          <w:szCs w:val="18"/>
          <w:lang w:val="hu-HU"/>
        </w:rPr>
        <w:t>12.4 Talajban való mobilitás</w:t>
      </w:r>
    </w:p>
    <w:p>
      <w:pPr>
        <w:pStyle w:val="Normal"/>
        <w:keepLines/>
        <w:jc w:val="both"/>
        <w:rPr>
          <w:bCs/>
          <w:sz w:val="18"/>
          <w:szCs w:val="18"/>
          <w:lang w:val="hu-HU" w:eastAsia="en-GB"/>
        </w:rPr>
      </w:pPr>
      <w:r>
        <w:rPr>
          <w:bCs/>
          <w:sz w:val="18"/>
          <w:szCs w:val="18"/>
          <w:lang w:val="hu-HU" w:eastAsia="en-GB"/>
        </w:rPr>
        <w:t>1. vízveszélyeztetési osztály (német osztályozás, önértékelés): enyhén veszélyes a vizekre. Ne engedje, hogy a hígítatlan termék vagy nagy mennyiségben kerüljön a talajvízbe, a vízfolyásokba vagy a szennyvízrendszerekbe.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keepLines/>
        <w:rPr>
          <w:b/>
          <w:b/>
          <w:bCs/>
          <w:sz w:val="18"/>
          <w:szCs w:val="18"/>
          <w:lang w:val="hu-HU"/>
        </w:rPr>
      </w:pPr>
      <w:r>
        <w:rPr>
          <w:b/>
          <w:bCs/>
          <w:sz w:val="18"/>
          <w:szCs w:val="18"/>
          <w:lang w:val="hu-HU"/>
        </w:rPr>
        <w:t>12.5 A PBT- és a vPvB-értékelés eredményei</w:t>
      </w:r>
    </w:p>
    <w:p>
      <w:pPr>
        <w:pStyle w:val="Normal"/>
        <w:keepLines/>
        <w:jc w:val="both"/>
        <w:rPr>
          <w:bCs/>
          <w:sz w:val="18"/>
          <w:szCs w:val="18"/>
          <w:lang w:val="hu-HU"/>
        </w:rPr>
      </w:pPr>
      <w:r>
        <w:rPr>
          <w:bCs/>
          <w:sz w:val="18"/>
          <w:szCs w:val="18"/>
          <w:lang w:val="hu-HU"/>
        </w:rPr>
        <w:t>A termék nem tartalmaz PBT és vPvB komponenseket.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b/>
          <w:b/>
          <w:sz w:val="18"/>
          <w:szCs w:val="18"/>
          <w:lang w:val="hu-HU"/>
        </w:rPr>
      </w:pPr>
      <w:r>
        <w:rPr>
          <w:b/>
          <w:sz w:val="18"/>
          <w:szCs w:val="18"/>
          <w:lang w:val="hu-HU"/>
        </w:rPr>
        <w:t xml:space="preserve">12.6. Egyéb káros hatások </w:t>
      </w:r>
    </w:p>
    <w:p>
      <w:pPr>
        <w:pStyle w:val="Normal"/>
        <w:keepLines/>
        <w:rPr>
          <w:b/>
          <w:b/>
          <w:bCs/>
          <w:sz w:val="18"/>
          <w:szCs w:val="18"/>
          <w:lang w:val="hu-HU"/>
        </w:rPr>
      </w:pPr>
      <w:r>
        <w:rPr>
          <w:b/>
          <w:bCs/>
          <w:sz w:val="18"/>
          <w:szCs w:val="18"/>
          <w:lang w:val="hu-HU"/>
        </w:rPr>
      </w:r>
    </w:p>
    <w:p>
      <w:pPr>
        <w:pStyle w:val="Normal"/>
        <w:keepLines/>
        <w:jc w:val="both"/>
        <w:rPr>
          <w:bCs/>
          <w:sz w:val="18"/>
          <w:szCs w:val="18"/>
          <w:lang w:val="hu-HU"/>
        </w:rPr>
      </w:pPr>
      <w:r>
        <w:rPr>
          <w:bCs/>
          <w:sz w:val="18"/>
          <w:szCs w:val="18"/>
          <w:lang w:val="hu-HU" w:eastAsia="en-GB"/>
        </w:rPr>
        <w:t>A termékre vonatkozó adatok nem állnak rendelkezésre.</w:t>
      </w:r>
    </w:p>
    <w:p>
      <w:pPr>
        <w:pStyle w:val="Normal"/>
        <w:rPr/>
      </w:pPr>
      <w:r>
        <w:rPr/>
      </w:r>
    </w:p>
    <w:p>
      <w:pPr>
        <w:pStyle w:val="Normal"/>
        <w:widowControl w:val="false"/>
        <w:jc w:val="center"/>
        <w:rPr>
          <w:rFonts w:ascii="MS Sans Serif" w:hAnsi="MS Sans Serif" w:cs="MS Sans Serif"/>
          <w:lang w:val="hu-HU"/>
        </w:rPr>
      </w:pPr>
      <w:r>
        <w:rPr>
          <w:b/>
          <w:bCs/>
          <w:color w:val="000000"/>
          <w:sz w:val="18"/>
          <w:szCs w:val="18"/>
          <w:lang w:val="hu-HU"/>
        </w:rPr>
        <w:t>13. SZAKASZ: Ártalmatlanítási szempontok</w:t>
      </w:r>
    </w:p>
    <w:p>
      <w:pPr>
        <w:pStyle w:val="Normal"/>
        <w:widowControl w:val="false"/>
        <w:jc w:val="both"/>
        <w:rPr>
          <w:b/>
          <w:b/>
          <w:bCs/>
          <w:color w:val="000000"/>
          <w:sz w:val="18"/>
          <w:szCs w:val="18"/>
          <w:lang w:val="hu-HU"/>
        </w:rPr>
      </w:pPr>
      <w:r>
        <w:rPr>
          <w:b/>
          <w:bCs/>
          <w:color w:val="000000"/>
          <w:sz w:val="18"/>
          <w:szCs w:val="18"/>
          <w:lang w:val="hu-HU"/>
        </w:rPr>
      </w:r>
    </w:p>
    <w:tbl>
      <w:tblPr>
        <w:tblW w:w="9239" w:type="dxa"/>
        <w:jc w:val="left"/>
        <w:tblInd w:w="60" w:type="dxa"/>
        <w:tblCellMar>
          <w:top w:w="0" w:type="dxa"/>
          <w:left w:w="60" w:type="dxa"/>
          <w:bottom w:w="0" w:type="dxa"/>
          <w:right w:w="60" w:type="dxa"/>
        </w:tblCellMar>
        <w:tblLook w:firstRow="0" w:noVBand="0" w:lastRow="0" w:firstColumn="0" w:lastColumn="0" w:noHBand="0" w:val="0000"/>
      </w:tblPr>
      <w:tblGrid>
        <w:gridCol w:w="2376"/>
        <w:gridCol w:w="6862"/>
      </w:tblGrid>
      <w:tr>
        <w:trPr/>
        <w:tc>
          <w:tcPr>
            <w:tcW w:w="2376" w:type="dxa"/>
            <w:tcBorders/>
            <w:shd w:fill="auto" w:val="clea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  <w:lang w:val="hu-HU"/>
              </w:rPr>
            </w:pPr>
            <w:r>
              <w:rPr>
                <w:b/>
                <w:bCs/>
                <w:sz w:val="18"/>
                <w:szCs w:val="18"/>
                <w:lang w:val="hu-HU"/>
              </w:rPr>
              <w:t>13.1 Hulladékkezelési módszerek</w:t>
            </w:r>
          </w:p>
        </w:tc>
        <w:tc>
          <w:tcPr>
            <w:tcW w:w="6862" w:type="dxa"/>
            <w:tcBorders/>
            <w:shd w:fill="auto" w:val="clear"/>
          </w:tcPr>
          <w:p>
            <w:pPr>
              <w:pStyle w:val="Normal"/>
              <w:keepNext w:val="true"/>
              <w:jc w:val="both"/>
              <w:rPr>
                <w:sz w:val="18"/>
                <w:szCs w:val="18"/>
                <w:u w:val="single"/>
                <w:lang w:val="hu-HU"/>
              </w:rPr>
            </w:pPr>
            <w:r>
              <w:rPr>
                <w:sz w:val="18"/>
                <w:szCs w:val="18"/>
                <w:u w:val="single"/>
                <w:lang w:val="hu-HU"/>
              </w:rPr>
              <w:t xml:space="preserve">Hulladékkezelésre vonatkozó információk: </w:t>
            </w:r>
          </w:p>
          <w:p>
            <w:pPr>
              <w:pStyle w:val="Normal"/>
              <w:keepNext w:val="true"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Termék/szennyezett csomagolás ártalmatlanítása:</w:t>
            </w:r>
          </w:p>
          <w:p>
            <w:pPr>
              <w:pStyle w:val="Normal"/>
              <w:keepNext w:val="true"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Kommunális hulladékkal nem kezelhető. Ne engedje a termék szennyvízrendszerekbe jutását. Gyűjtsük össze a visszamaradt hulladékot a 6.3 szakaszban leírt módon, majd helyezze egy címkével ellátott, zárható, külön erre a célra kinevezett veszélyes hulladékgyűjtő tartályba. A felcímkézett tartályt a területileg illetékes hatósági engedéllyel rendelkező veszélyes hulladéklerakóban kell elhelyezni.</w:t>
            </w:r>
          </w:p>
          <w:p>
            <w:pPr>
              <w:pStyle w:val="Normal"/>
              <w:keepNext w:val="true"/>
              <w:jc w:val="both"/>
              <w:rPr>
                <w:sz w:val="18"/>
                <w:szCs w:val="18"/>
                <w:u w:val="single"/>
                <w:lang w:val="hu-HU"/>
              </w:rPr>
            </w:pPr>
            <w:r>
              <w:rPr>
                <w:sz w:val="18"/>
                <w:szCs w:val="18"/>
                <w:u w:val="single"/>
                <w:lang w:val="hu-HU"/>
              </w:rPr>
            </w:r>
          </w:p>
          <w:p>
            <w:pPr>
              <w:pStyle w:val="Normal"/>
              <w:keepNext w:val="true"/>
              <w:jc w:val="both"/>
              <w:rPr>
                <w:sz w:val="18"/>
                <w:szCs w:val="18"/>
                <w:u w:val="single"/>
                <w:lang w:val="hu-HU"/>
              </w:rPr>
            </w:pPr>
            <w:r>
              <w:rPr>
                <w:sz w:val="18"/>
                <w:szCs w:val="18"/>
                <w:u w:val="single"/>
                <w:lang w:val="hu-HU"/>
              </w:rPr>
              <w:t>Egyéb ártalmatlanítási javaslatok:</w:t>
            </w:r>
          </w:p>
          <w:p>
            <w:pPr>
              <w:pStyle w:val="Normal"/>
              <w:keepNext w:val="true"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Nem ajánlatos a hulladék szennyvízcsatornába való kibocsátása révén történő elhelyezése.</w:t>
            </w:r>
          </w:p>
          <w:p>
            <w:pPr>
              <w:pStyle w:val="Normal"/>
              <w:keepNext w:val="true"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</w:r>
          </w:p>
          <w:p>
            <w:pPr>
              <w:pStyle w:val="Normal"/>
              <w:keepNext w:val="true"/>
              <w:jc w:val="both"/>
              <w:rPr>
                <w:sz w:val="18"/>
                <w:szCs w:val="18"/>
                <w:u w:val="single"/>
                <w:lang w:val="hu-HU"/>
              </w:rPr>
            </w:pPr>
            <w:r>
              <w:rPr>
                <w:sz w:val="18"/>
                <w:szCs w:val="18"/>
                <w:u w:val="single"/>
                <w:lang w:val="hu-HU"/>
              </w:rPr>
              <w:t>Hulladékkódok / hulladék-megjelölések a LoW alapján:</w:t>
            </w:r>
          </w:p>
          <w:p>
            <w:pPr>
              <w:pStyle w:val="Normal"/>
              <w:keepNext w:val="true"/>
              <w:jc w:val="both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 xml:space="preserve">A regionális, országos és európai jogszabályokkal összhangban lévő, megfelelő hulladékkezelési módszerekkel és azoknak a helyi feltételekhez való igazításával kapcsolatos végső döntésért a hulladékkezelő a felelős. </w:t>
            </w:r>
          </w:p>
        </w:tc>
      </w:tr>
    </w:tbl>
    <w:p>
      <w:pPr>
        <w:pStyle w:val="Normal"/>
        <w:widowControl w:val="false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</w:r>
    </w:p>
    <w:tbl>
      <w:tblPr>
        <w:tblW w:w="9360" w:type="dxa"/>
        <w:jc w:val="left"/>
        <w:tblInd w:w="0" w:type="dxa"/>
        <w:tblCellMar>
          <w:top w:w="0" w:type="dxa"/>
          <w:left w:w="71" w:type="dxa"/>
          <w:bottom w:w="0" w:type="dxa"/>
          <w:right w:w="71" w:type="dxa"/>
        </w:tblCellMar>
        <w:tblLook w:firstRow="0" w:noVBand="0" w:lastRow="0" w:firstColumn="0" w:lastColumn="0" w:noHBand="0" w:val="0000"/>
      </w:tblPr>
      <w:tblGrid>
        <w:gridCol w:w="9360"/>
      </w:tblGrid>
      <w:tr>
        <w:trPr/>
        <w:tc>
          <w:tcPr>
            <w:tcW w:w="9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MS Sans Serif" w:hAnsi="MS Sans Serif" w:cs="MS Sans Serif"/>
                <w:lang w:val="hu-HU"/>
              </w:rPr>
            </w:pPr>
            <w:r>
              <w:rPr>
                <w:b/>
                <w:bCs/>
                <w:color w:val="000000"/>
                <w:sz w:val="18"/>
                <w:szCs w:val="18"/>
                <w:lang w:val="hu-HU"/>
              </w:rPr>
              <w:t>14. SZAKASZ: Szállításra vonatkozó információk</w:t>
            </w:r>
          </w:p>
        </w:tc>
      </w:tr>
    </w:tbl>
    <w:p>
      <w:pPr>
        <w:pStyle w:val="Normal"/>
        <w:widowControl w:val="false"/>
        <w:jc w:val="both"/>
        <w:rPr>
          <w:color w:val="000000"/>
          <w:sz w:val="16"/>
          <w:szCs w:val="16"/>
          <w:lang w:val="hu-HU"/>
        </w:rPr>
      </w:pPr>
      <w:r>
        <w:rPr>
          <w:color w:val="000000"/>
          <w:sz w:val="16"/>
          <w:szCs w:val="16"/>
          <w:lang w:val="hu-HU"/>
        </w:rPr>
      </w:r>
    </w:p>
    <w:tbl>
      <w:tblPr>
        <w:tblW w:w="9209" w:type="dxa"/>
        <w:jc w:val="left"/>
        <w:tblInd w:w="75" w:type="dxa"/>
        <w:tblCellMar>
          <w:top w:w="0" w:type="dxa"/>
          <w:left w:w="60" w:type="dxa"/>
          <w:bottom w:w="0" w:type="dxa"/>
          <w:right w:w="60" w:type="dxa"/>
        </w:tblCellMar>
        <w:tblLook w:firstRow="0" w:noVBand="0" w:lastRow="0" w:firstColumn="0" w:lastColumn="0" w:noHBand="0" w:val="0000"/>
      </w:tblPr>
      <w:tblGrid>
        <w:gridCol w:w="1827"/>
        <w:gridCol w:w="14"/>
        <w:gridCol w:w="1840"/>
        <w:gridCol w:w="1842"/>
        <w:gridCol w:w="1842"/>
        <w:gridCol w:w="1844"/>
      </w:tblGrid>
      <w:tr>
        <w:trPr/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rPr>
                <w:bCs/>
                <w:sz w:val="18"/>
                <w:szCs w:val="18"/>
                <w:lang w:val="hu-HU"/>
              </w:rPr>
            </w:pPr>
            <w:r>
              <w:rPr>
                <w:bCs/>
                <w:sz w:val="18"/>
                <w:szCs w:val="18"/>
                <w:lang w:val="hu-HU"/>
              </w:rPr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 xml:space="preserve">ADR/RID-közúti/vasúti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ADN-Folyami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IMDG-Tengeri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IATA légi</w:t>
            </w:r>
          </w:p>
        </w:tc>
      </w:tr>
      <w:tr>
        <w:trPr/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sz w:val="18"/>
                <w:szCs w:val="18"/>
                <w:lang w:val="hu-HU"/>
              </w:rPr>
            </w:pPr>
            <w:r>
              <w:rPr>
                <w:b/>
                <w:bCs/>
                <w:sz w:val="18"/>
                <w:szCs w:val="18"/>
                <w:lang w:val="hu-HU"/>
              </w:rPr>
              <w:t>14.1. UN-szám:</w:t>
            </w:r>
          </w:p>
        </w:tc>
        <w:tc>
          <w:tcPr>
            <w:tcW w:w="73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Nem veszélyes áru.</w:t>
            </w:r>
          </w:p>
        </w:tc>
      </w:tr>
      <w:tr>
        <w:trPr/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  <w:lang w:val="hu-HU"/>
              </w:rPr>
            </w:pPr>
            <w:r>
              <w:rPr>
                <w:b/>
                <w:bCs/>
                <w:sz w:val="18"/>
                <w:szCs w:val="18"/>
                <w:lang w:val="hu-HU"/>
              </w:rPr>
              <w:t>14.2. Az ENSZ szerinti megfelelő szállítási megnevezés:</w:t>
            </w:r>
          </w:p>
        </w:tc>
        <w:tc>
          <w:tcPr>
            <w:tcW w:w="73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Nem veszélyes áru.</w:t>
            </w:r>
          </w:p>
        </w:tc>
      </w:tr>
      <w:tr>
        <w:trPr/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sz w:val="18"/>
                <w:szCs w:val="18"/>
                <w:lang w:val="hu-HU"/>
              </w:rPr>
            </w:pPr>
            <w:r>
              <w:rPr>
                <w:b/>
                <w:bCs/>
                <w:sz w:val="18"/>
                <w:szCs w:val="18"/>
                <w:lang w:val="hu-HU"/>
              </w:rPr>
              <w:t>14.3. Szállítási veszélyességi osztály(ok):</w:t>
            </w:r>
          </w:p>
        </w:tc>
        <w:tc>
          <w:tcPr>
            <w:tcW w:w="73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Nem veszélyes áru.</w:t>
            </w:r>
          </w:p>
        </w:tc>
      </w:tr>
      <w:tr>
        <w:trPr/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  <w:lang w:val="hu-HU"/>
              </w:rPr>
            </w:pPr>
            <w:r>
              <w:rPr>
                <w:b/>
                <w:bCs/>
                <w:color w:val="000000"/>
                <w:w w:val="101"/>
                <w:sz w:val="18"/>
                <w:szCs w:val="18"/>
                <w:lang w:val="hu-HU"/>
              </w:rPr>
              <w:t>14.4. Csomagolási csoport:</w:t>
            </w:r>
          </w:p>
        </w:tc>
        <w:tc>
          <w:tcPr>
            <w:tcW w:w="73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rPr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Nem veszélyes áru.</w:t>
            </w:r>
          </w:p>
        </w:tc>
      </w:tr>
      <w:tr>
        <w:trPr/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  <w:lang w:val="hu-HU"/>
              </w:rPr>
            </w:pPr>
            <w:r>
              <w:rPr>
                <w:b/>
                <w:bCs/>
                <w:sz w:val="18"/>
                <w:szCs w:val="18"/>
                <w:lang w:val="hu-HU"/>
              </w:rPr>
              <w:t>14.5. Környezeti veszélyek:</w:t>
            </w:r>
          </w:p>
        </w:tc>
        <w:tc>
          <w:tcPr>
            <w:tcW w:w="738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rPr>
                <w:sz w:val="18"/>
                <w:szCs w:val="18"/>
                <w:lang w:val="hu-HU"/>
              </w:rPr>
            </w:pPr>
            <w:r>
              <w:rPr>
                <w:bCs/>
                <w:sz w:val="18"/>
                <w:szCs w:val="18"/>
                <w:lang w:val="hu-HU"/>
              </w:rPr>
              <w:t>Tengeri szennyezés: nem</w:t>
            </w:r>
          </w:p>
        </w:tc>
      </w:tr>
      <w:tr>
        <w:trPr/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  <w:lang w:val="hu-HU"/>
              </w:rPr>
            </w:pPr>
            <w:r>
              <w:rPr>
                <w:b/>
                <w:bCs/>
                <w:sz w:val="18"/>
                <w:szCs w:val="18"/>
                <w:lang w:val="hu-HU"/>
              </w:rPr>
              <w:t>14.6. A felhasználót érintő különleges óvintézkedések:</w:t>
            </w:r>
          </w:p>
        </w:tc>
        <w:tc>
          <w:tcPr>
            <w:tcW w:w="738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rPr>
                <w:bCs/>
                <w:sz w:val="18"/>
                <w:szCs w:val="18"/>
                <w:lang w:val="hu-HU"/>
              </w:rPr>
            </w:pPr>
            <w:r>
              <w:rPr>
                <w:sz w:val="18"/>
                <w:szCs w:val="18"/>
                <w:lang w:val="hu-HU"/>
              </w:rPr>
              <w:t>Nem veszélyes áru.</w:t>
            </w:r>
          </w:p>
        </w:tc>
      </w:tr>
      <w:tr>
        <w:trPr/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sz w:val="18"/>
                <w:szCs w:val="18"/>
                <w:lang w:val="hu-HU"/>
              </w:rPr>
            </w:pPr>
            <w:r>
              <w:rPr>
                <w:b/>
                <w:bCs/>
                <w:sz w:val="18"/>
                <w:szCs w:val="18"/>
                <w:lang w:val="hu-HU"/>
              </w:rPr>
              <w:t>14.7. A MARPOL egyezmény II. melléklete és az IBC szabályzat szerinti ömlesztett szállítás:</w:t>
            </w:r>
          </w:p>
        </w:tc>
        <w:tc>
          <w:tcPr>
            <w:tcW w:w="738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rPr>
                <w:bCs/>
                <w:sz w:val="18"/>
                <w:szCs w:val="18"/>
                <w:lang w:val="hu-HU"/>
              </w:rPr>
            </w:pPr>
            <w:r>
              <w:rPr>
                <w:color w:val="000000"/>
                <w:sz w:val="18"/>
                <w:szCs w:val="18"/>
                <w:lang w:val="hu-HU"/>
              </w:rPr>
              <w:t>Nem alkalmazható.</w:t>
            </w:r>
          </w:p>
        </w:tc>
      </w:tr>
    </w:tbl>
    <w:p>
      <w:pPr>
        <w:pStyle w:val="Normal"/>
        <w:widowControl w:val="false"/>
        <w:jc w:val="both"/>
        <w:rPr>
          <w:color w:val="000000"/>
          <w:sz w:val="16"/>
          <w:szCs w:val="16"/>
          <w:lang w:val="hu-HU"/>
        </w:rPr>
      </w:pPr>
      <w:r>
        <w:rPr>
          <w:color w:val="000000"/>
          <w:sz w:val="16"/>
          <w:szCs w:val="16"/>
          <w:lang w:val="hu-HU"/>
        </w:rPr>
      </w:r>
    </w:p>
    <w:tbl>
      <w:tblPr>
        <w:tblW w:w="9356" w:type="dxa"/>
        <w:jc w:val="left"/>
        <w:tblInd w:w="0" w:type="dxa"/>
        <w:tblCellMar>
          <w:top w:w="0" w:type="dxa"/>
          <w:left w:w="71" w:type="dxa"/>
          <w:bottom w:w="0" w:type="dxa"/>
          <w:right w:w="71" w:type="dxa"/>
        </w:tblCellMar>
        <w:tblLook w:firstRow="0" w:noVBand="0" w:lastRow="0" w:firstColumn="0" w:lastColumn="0" w:noHBand="0" w:val="0000"/>
      </w:tblPr>
      <w:tblGrid>
        <w:gridCol w:w="9356"/>
      </w:tblGrid>
      <w:tr>
        <w:trPr/>
        <w:tc>
          <w:tcPr>
            <w:tcW w:w="9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MS Sans Serif" w:hAnsi="MS Sans Serif" w:cs="MS Sans Serif"/>
                <w:lang w:val="hu-HU"/>
              </w:rPr>
            </w:pPr>
            <w:r>
              <w:rPr>
                <w:b/>
                <w:bCs/>
                <w:color w:val="000000"/>
                <w:sz w:val="18"/>
                <w:szCs w:val="18"/>
                <w:lang w:val="hu-HU"/>
              </w:rPr>
              <w:t>15. SZAKASZ: Szabályozással kapcsolatos információk</w:t>
            </w:r>
          </w:p>
        </w:tc>
      </w:tr>
    </w:tbl>
    <w:p>
      <w:pPr>
        <w:pStyle w:val="Normal"/>
        <w:widowControl w:val="false"/>
        <w:jc w:val="both"/>
        <w:rPr>
          <w:color w:val="000000"/>
          <w:spacing w:val="-3"/>
          <w:sz w:val="18"/>
          <w:szCs w:val="18"/>
          <w:lang w:val="hu-HU"/>
        </w:rPr>
      </w:pPr>
      <w:r>
        <w:rPr>
          <w:color w:val="000000"/>
          <w:spacing w:val="-3"/>
          <w:sz w:val="18"/>
          <w:szCs w:val="18"/>
          <w:lang w:val="hu-HU"/>
        </w:rPr>
      </w:r>
    </w:p>
    <w:p>
      <w:pPr>
        <w:pStyle w:val="Normal"/>
        <w:widowControl w:val="false"/>
        <w:jc w:val="both"/>
        <w:rPr>
          <w:color w:val="000000"/>
          <w:spacing w:val="-3"/>
          <w:sz w:val="18"/>
          <w:szCs w:val="18"/>
          <w:lang w:val="hu-HU"/>
        </w:rPr>
      </w:pPr>
      <w:r>
        <w:rPr>
          <w:b/>
          <w:color w:val="000000"/>
          <w:spacing w:val="-3"/>
          <w:sz w:val="18"/>
          <w:szCs w:val="18"/>
          <w:lang w:val="hu-HU"/>
        </w:rPr>
        <w:t>15.1 Az adott anyaggal vagy keverékkel kapcsolatos biztonsági, egészségügyi és környezetvédelmi előírások/jogszabályok</w:t>
      </w:r>
      <w:r>
        <w:rPr>
          <w:color w:val="000000"/>
          <w:spacing w:val="-3"/>
          <w:sz w:val="18"/>
          <w:szCs w:val="18"/>
          <w:lang w:val="hu-HU"/>
        </w:rPr>
        <w:t>:</w:t>
      </w:r>
    </w:p>
    <w:p>
      <w:pPr>
        <w:pStyle w:val="Normal"/>
        <w:widowControl w:val="false"/>
        <w:jc w:val="both"/>
        <w:rPr>
          <w:color w:val="000000"/>
          <w:spacing w:val="-3"/>
          <w:sz w:val="18"/>
          <w:szCs w:val="18"/>
          <w:lang w:val="hu-HU"/>
        </w:rPr>
      </w:pPr>
      <w:r>
        <w:rPr>
          <w:color w:val="000000"/>
          <w:spacing w:val="-3"/>
          <w:sz w:val="18"/>
          <w:szCs w:val="18"/>
          <w:lang w:val="hu-HU"/>
        </w:rPr>
      </w:r>
    </w:p>
    <w:p>
      <w:pPr>
        <w:pStyle w:val="Normal"/>
        <w:widowControl w:val="false"/>
        <w:jc w:val="both"/>
        <w:rPr>
          <w:color w:val="000000"/>
          <w:spacing w:val="-3"/>
          <w:sz w:val="18"/>
          <w:szCs w:val="18"/>
          <w:lang w:val="hu-HU"/>
        </w:rPr>
      </w:pPr>
      <w:r>
        <w:rPr>
          <w:color w:val="000000"/>
          <w:spacing w:val="-3"/>
          <w:sz w:val="18"/>
          <w:szCs w:val="18"/>
          <w:lang w:val="hu-HU"/>
        </w:rPr>
        <w:t>1907/2006/EK rendelet REACH és módosításai</w:t>
      </w:r>
    </w:p>
    <w:p>
      <w:pPr>
        <w:pStyle w:val="Normal"/>
        <w:widowControl w:val="false"/>
        <w:ind w:right="1638" w:hanging="0"/>
        <w:jc w:val="both"/>
        <w:rPr>
          <w:color w:val="000000"/>
          <w:spacing w:val="-3"/>
          <w:sz w:val="18"/>
          <w:szCs w:val="18"/>
          <w:lang w:val="hu-HU"/>
        </w:rPr>
      </w:pPr>
      <w:r>
        <w:rPr>
          <w:color w:val="000000"/>
          <w:spacing w:val="-3"/>
          <w:sz w:val="18"/>
          <w:szCs w:val="18"/>
          <w:lang w:val="hu-HU"/>
        </w:rPr>
        <w:t>1272/2008/EK rendelet az anyagok és keverékek osztályozásáról, címkézéséről és csomagolásáról, a 67/548/EGK és az 1999/45/EK irányelv módosításáról és hatályon kívül helyezéséről, valamint az 1907/2006/EK rendelet módosításáról</w:t>
      </w:r>
    </w:p>
    <w:p>
      <w:pPr>
        <w:pStyle w:val="Normal"/>
        <w:widowControl w:val="false"/>
        <w:ind w:right="1638" w:hanging="0"/>
        <w:jc w:val="both"/>
        <w:rPr>
          <w:color w:val="000000"/>
          <w:spacing w:val="-3"/>
          <w:sz w:val="18"/>
          <w:szCs w:val="18"/>
          <w:lang w:val="hu-HU"/>
        </w:rPr>
      </w:pPr>
      <w:r>
        <w:rPr>
          <w:color w:val="000000"/>
          <w:spacing w:val="-3"/>
          <w:sz w:val="18"/>
          <w:szCs w:val="18"/>
          <w:lang w:val="hu-HU"/>
        </w:rPr>
        <w:t>2000. évi XXV. törvény a kémiai biztonságról</w:t>
      </w:r>
    </w:p>
    <w:p>
      <w:pPr>
        <w:pStyle w:val="Normal"/>
        <w:widowControl w:val="false"/>
        <w:ind w:right="1638" w:hanging="0"/>
        <w:jc w:val="both"/>
        <w:rPr>
          <w:color w:val="000000"/>
          <w:spacing w:val="-3"/>
          <w:sz w:val="18"/>
          <w:szCs w:val="18"/>
          <w:lang w:val="hu-HU"/>
        </w:rPr>
      </w:pPr>
      <w:r>
        <w:rPr>
          <w:color w:val="000000"/>
          <w:spacing w:val="-3"/>
          <w:sz w:val="18"/>
          <w:szCs w:val="18"/>
          <w:lang w:val="hu-HU"/>
        </w:rPr>
        <w:t>72/2013. (VIII. 27.) VM rendelet a hulladékjegyzékről</w:t>
      </w:r>
    </w:p>
    <w:p>
      <w:pPr>
        <w:pStyle w:val="Normal"/>
        <w:widowControl w:val="false"/>
        <w:ind w:right="1638" w:hanging="0"/>
        <w:jc w:val="both"/>
        <w:rPr>
          <w:color w:val="000000"/>
          <w:spacing w:val="-3"/>
          <w:sz w:val="18"/>
          <w:szCs w:val="18"/>
          <w:lang w:val="hu-HU"/>
        </w:rPr>
      </w:pPr>
      <w:r>
        <w:rPr>
          <w:color w:val="000000"/>
          <w:spacing w:val="-3"/>
          <w:sz w:val="18"/>
          <w:szCs w:val="18"/>
          <w:lang w:val="hu-HU"/>
        </w:rPr>
        <w:t>225/2015. (VIII. 7.) Korm. rendelet a veszélyes hulladékkal kapcsolatos egyes tevékenységek részletes szabályairól</w:t>
      </w:r>
      <w:bookmarkStart w:id="0" w:name="_Hlk23163911"/>
      <w:bookmarkStart w:id="1" w:name="_Hlk23162175"/>
      <w:bookmarkEnd w:id="0"/>
      <w:bookmarkEnd w:id="1"/>
    </w:p>
    <w:p>
      <w:pPr>
        <w:pStyle w:val="Normal"/>
        <w:widowControl w:val="false"/>
        <w:jc w:val="both"/>
        <w:rPr>
          <w:color w:val="000000"/>
          <w:spacing w:val="-3"/>
          <w:sz w:val="18"/>
          <w:szCs w:val="18"/>
          <w:lang w:val="hu-HU"/>
        </w:rPr>
      </w:pPr>
      <w:r>
        <w:rPr>
          <w:color w:val="000000"/>
          <w:spacing w:val="-3"/>
          <w:sz w:val="18"/>
          <w:szCs w:val="18"/>
          <w:lang w:val="hu-HU"/>
        </w:rPr>
      </w:r>
    </w:p>
    <w:p>
      <w:pPr>
        <w:pStyle w:val="Normal"/>
        <w:widowControl w:val="false"/>
        <w:jc w:val="both"/>
        <w:rPr>
          <w:b/>
          <w:b/>
          <w:color w:val="000000"/>
          <w:spacing w:val="-3"/>
          <w:sz w:val="18"/>
          <w:szCs w:val="18"/>
          <w:lang w:val="hu-HU"/>
        </w:rPr>
      </w:pPr>
      <w:r>
        <w:rPr>
          <w:b/>
          <w:color w:val="000000"/>
          <w:spacing w:val="-3"/>
          <w:sz w:val="18"/>
          <w:szCs w:val="18"/>
          <w:lang w:val="hu-HU"/>
        </w:rPr>
        <w:t>15.2 Kémiai biztonsági értékelés</w:t>
      </w:r>
    </w:p>
    <w:p>
      <w:pPr>
        <w:pStyle w:val="Normal"/>
        <w:widowControl w:val="false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pacing w:val="-3"/>
          <w:sz w:val="18"/>
          <w:szCs w:val="18"/>
          <w:lang w:val="hu-HU"/>
        </w:rPr>
        <w:t>Nem készült kémiai biztonsági értékelés.</w:t>
      </w:r>
    </w:p>
    <w:p>
      <w:pPr>
        <w:pStyle w:val="Normal"/>
        <w:widowControl w:val="false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</w:r>
    </w:p>
    <w:tbl>
      <w:tblPr>
        <w:tblW w:w="9360" w:type="dxa"/>
        <w:jc w:val="left"/>
        <w:tblInd w:w="0" w:type="dxa"/>
        <w:tblCellMar>
          <w:top w:w="0" w:type="dxa"/>
          <w:left w:w="71" w:type="dxa"/>
          <w:bottom w:w="0" w:type="dxa"/>
          <w:right w:w="71" w:type="dxa"/>
        </w:tblCellMar>
        <w:tblLook w:firstRow="0" w:noVBand="0" w:lastRow="0" w:firstColumn="0" w:lastColumn="0" w:noHBand="0" w:val="0000"/>
      </w:tblPr>
      <w:tblGrid>
        <w:gridCol w:w="9360"/>
      </w:tblGrid>
      <w:tr>
        <w:trPr/>
        <w:tc>
          <w:tcPr>
            <w:tcW w:w="9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MS Sans Serif" w:hAnsi="MS Sans Serif" w:cs="MS Sans Serif"/>
                <w:lang w:val="hu-HU"/>
              </w:rPr>
            </w:pPr>
            <w:r>
              <w:rPr>
                <w:b/>
                <w:bCs/>
                <w:color w:val="000000"/>
                <w:sz w:val="18"/>
                <w:szCs w:val="18"/>
                <w:lang w:val="hu-HU"/>
              </w:rPr>
              <w:t>16. SZAKASZ: Egyéb információk</w:t>
            </w:r>
          </w:p>
        </w:tc>
      </w:tr>
    </w:tbl>
    <w:p>
      <w:pPr>
        <w:pStyle w:val="Normal"/>
        <w:widowControl w:val="false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</w:r>
    </w:p>
    <w:p>
      <w:pPr>
        <w:pStyle w:val="Normal"/>
        <w:widowControl w:val="false"/>
        <w:ind w:right="1213" w:hanging="0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  <w:t>A biztonsági adatlapban foglalt információk, adatok és ajánlások - melyeket a kiadás időpontjában pontosnak, helytállónak és szakszerűnek tartunk - hozzáértő szakemberek munkájából származnak.</w:t>
      </w:r>
    </w:p>
    <w:p>
      <w:pPr>
        <w:pStyle w:val="Normal"/>
        <w:widowControl w:val="false"/>
        <w:ind w:right="1213" w:hanging="0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</w:r>
    </w:p>
    <w:p>
      <w:pPr>
        <w:pStyle w:val="Normal"/>
        <w:ind w:right="1355" w:hanging="0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u w:val="single"/>
          <w:lang w:val="hu-HU"/>
        </w:rPr>
        <w:t>Legfontosabb hivatkozások és adatforrások:</w:t>
      </w:r>
      <w:r>
        <w:rPr>
          <w:color w:val="000000"/>
          <w:sz w:val="18"/>
          <w:szCs w:val="18"/>
          <w:lang w:val="hu-HU"/>
        </w:rPr>
        <w:t xml:space="preserve"> összetevők biztonsági adatlapja    </w:t>
      </w:r>
    </w:p>
    <w:p>
      <w:pPr>
        <w:pStyle w:val="Normal"/>
        <w:ind w:right="1355" w:hanging="0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u w:val="single"/>
          <w:lang w:val="hu-HU"/>
        </w:rPr>
        <w:t>A keverék osztályzásánál alkalmazott módszer</w:t>
      </w:r>
      <w:r>
        <w:rPr>
          <w:sz w:val="18"/>
          <w:szCs w:val="18"/>
        </w:rPr>
        <w:t>: számítási módszer</w:t>
      </w:r>
    </w:p>
    <w:p>
      <w:pPr>
        <w:pStyle w:val="Normal"/>
        <w:ind w:right="1355" w:hanging="0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u w:val="single"/>
          <w:lang w:val="hu-HU"/>
        </w:rPr>
        <w:t>Javasolt képzések, amelyek az emberi egészség és a környezet védelmének biztosítását szolgálják:</w:t>
      </w:r>
      <w:r>
        <w:rPr>
          <w:color w:val="000000"/>
          <w:sz w:val="18"/>
          <w:szCs w:val="18"/>
          <w:lang w:val="hu-HU"/>
        </w:rPr>
        <w:t xml:space="preserve"> Javasolt címke tartalmával és biztonsági adatlap fontosságával kapcsolatos belső, kémiai biztonsági oktatásának megtartása a munkavédelmi oktatással összekötve.</w:t>
      </w:r>
    </w:p>
    <w:p>
      <w:pPr>
        <w:pStyle w:val="Normal"/>
        <w:widowControl w:val="false"/>
        <w:ind w:right="1213" w:hanging="0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  <w:t xml:space="preserve">Az adatlapban használt rövidítések: </w:t>
      </w:r>
    </w:p>
    <w:p>
      <w:pPr>
        <w:pStyle w:val="Normal"/>
        <w:jc w:val="both"/>
        <w:rPr>
          <w:sz w:val="18"/>
          <w:szCs w:val="18"/>
          <w:lang w:val="hu-HU"/>
        </w:rPr>
      </w:pPr>
      <w:r>
        <w:rPr>
          <w:sz w:val="18"/>
          <w:szCs w:val="18"/>
          <w:lang w:val="hu-HU"/>
        </w:rPr>
        <w:t>A biztonsági adatlapon rövidítéssel megadott H-mondatok és CLP osztályok teljes szövege:</w:t>
      </w:r>
    </w:p>
    <w:p>
      <w:pPr>
        <w:pStyle w:val="Normal"/>
        <w:jc w:val="both"/>
        <w:rPr/>
      </w:pPr>
      <w:r>
        <w:rPr/>
      </w:r>
      <w:bookmarkStart w:id="2" w:name="_Hlk23162191"/>
      <w:bookmarkStart w:id="3" w:name="_Hlk23163926"/>
      <w:bookmarkStart w:id="4" w:name="_Hlk23162191"/>
      <w:bookmarkStart w:id="5" w:name="_Hlk23163926"/>
      <w:bookmarkEnd w:id="4"/>
      <w:bookmarkEnd w:id="5"/>
    </w:p>
    <w:p>
      <w:pPr>
        <w:pStyle w:val="Normal"/>
        <w:widowControl w:val="false"/>
        <w:jc w:val="both"/>
        <w:rPr>
          <w:sz w:val="18"/>
          <w:szCs w:val="18"/>
          <w:lang w:val="hu-HU"/>
        </w:rPr>
      </w:pPr>
      <w:r>
        <w:rPr>
          <w:sz w:val="18"/>
          <w:szCs w:val="18"/>
          <w:lang w:val="hu-HU"/>
        </w:rPr>
        <w:t>Eye Dam. 1; Súlyos szemkárosodás</w:t>
      </w:r>
    </w:p>
    <w:p>
      <w:pPr>
        <w:pStyle w:val="Normal"/>
        <w:widowControl w:val="false"/>
        <w:jc w:val="both"/>
        <w:rPr>
          <w:sz w:val="18"/>
          <w:szCs w:val="18"/>
          <w:lang w:val="hu-HU"/>
        </w:rPr>
      </w:pPr>
      <w:r>
        <w:rPr>
          <w:sz w:val="18"/>
          <w:szCs w:val="18"/>
          <w:lang w:val="hu-HU"/>
        </w:rPr>
        <w:t>Skin Irrit. 2; Bőrirritáció</w:t>
      </w:r>
    </w:p>
    <w:p>
      <w:pPr>
        <w:pStyle w:val="Normal"/>
        <w:widowControl w:val="false"/>
        <w:jc w:val="both"/>
        <w:rPr>
          <w:iCs/>
          <w:sz w:val="18"/>
          <w:szCs w:val="18"/>
          <w:lang w:val="hu-HU" w:eastAsia="en-GB"/>
        </w:rPr>
      </w:pPr>
      <w:r>
        <w:rPr>
          <w:iCs/>
          <w:sz w:val="18"/>
          <w:szCs w:val="18"/>
          <w:lang w:val="hu-HU" w:eastAsia="en-GB"/>
        </w:rPr>
        <w:t>Acute Tox. 4; Akut toxicitás, 4. kategória</w:t>
      </w:r>
    </w:p>
    <w:p>
      <w:pPr>
        <w:pStyle w:val="Normal"/>
        <w:rPr>
          <w:iCs/>
          <w:sz w:val="18"/>
          <w:szCs w:val="18"/>
          <w:lang w:val="hu-HU" w:eastAsia="en-GB"/>
        </w:rPr>
      </w:pPr>
      <w:r>
        <w:rPr>
          <w:iCs/>
          <w:sz w:val="18"/>
          <w:szCs w:val="18"/>
          <w:lang w:val="hu-HU" w:eastAsia="en-GB"/>
        </w:rPr>
        <w:t>Met. Corr.1; Fémekre maró hatású anyagok és keverékek</w:t>
      </w:r>
    </w:p>
    <w:p>
      <w:pPr>
        <w:pStyle w:val="Normal"/>
        <w:widowControl w:val="false"/>
        <w:jc w:val="both"/>
        <w:rPr>
          <w:iCs/>
          <w:sz w:val="18"/>
          <w:szCs w:val="18"/>
          <w:lang w:val="hu-HU" w:eastAsia="en-GB"/>
        </w:rPr>
      </w:pPr>
      <w:r>
        <w:rPr>
          <w:iCs/>
          <w:sz w:val="18"/>
          <w:szCs w:val="18"/>
          <w:lang w:val="hu-HU" w:eastAsia="en-GB"/>
        </w:rPr>
        <w:t>Skin Corr. 1A; Bőrmarás, 1A. kategória</w:t>
      </w:r>
    </w:p>
    <w:p>
      <w:pPr>
        <w:pStyle w:val="Normal"/>
        <w:widowControl w:val="false"/>
        <w:ind w:right="1355" w:hanging="0"/>
        <w:jc w:val="both"/>
        <w:rPr/>
      </w:pPr>
      <w:r>
        <w:rPr/>
      </w:r>
      <w:bookmarkStart w:id="6" w:name="_Hlk23166577"/>
      <w:bookmarkStart w:id="7" w:name="_Hlk23166577"/>
      <w:bookmarkEnd w:id="7"/>
    </w:p>
    <w:p>
      <w:pPr>
        <w:pStyle w:val="Normal"/>
        <w:widowControl w:val="false"/>
        <w:jc w:val="both"/>
        <w:rPr>
          <w:sz w:val="18"/>
          <w:szCs w:val="18"/>
          <w:lang w:val="hu-HU"/>
        </w:rPr>
      </w:pPr>
      <w:r>
        <w:rPr>
          <w:sz w:val="18"/>
          <w:szCs w:val="18"/>
          <w:lang w:val="hu-HU"/>
        </w:rPr>
        <w:t xml:space="preserve">H290 </w:t>
      </w:r>
      <w:r>
        <w:rPr>
          <w:sz w:val="18"/>
          <w:szCs w:val="18"/>
          <w:shd w:fill="FFFFFF" w:val="clear"/>
        </w:rPr>
        <w:t>Fémekre korrozív hatású lehet.</w:t>
      </w:r>
    </w:p>
    <w:p>
      <w:pPr>
        <w:pStyle w:val="Normal"/>
        <w:widowControl w:val="false"/>
        <w:jc w:val="both"/>
        <w:rPr>
          <w:sz w:val="18"/>
          <w:szCs w:val="18"/>
          <w:lang w:val="hu-HU"/>
        </w:rPr>
      </w:pPr>
      <w:r>
        <w:rPr>
          <w:sz w:val="18"/>
          <w:szCs w:val="18"/>
          <w:lang w:val="hu-HU"/>
        </w:rPr>
        <w:t xml:space="preserve">H302 </w:t>
      </w:r>
      <w:r>
        <w:rPr>
          <w:sz w:val="18"/>
          <w:szCs w:val="18"/>
          <w:shd w:fill="FFFFFF" w:val="clear"/>
        </w:rPr>
        <w:t>Lenyelve ártalmas.</w:t>
      </w:r>
    </w:p>
    <w:p>
      <w:pPr>
        <w:pStyle w:val="Normal"/>
        <w:widowControl w:val="false"/>
        <w:jc w:val="both"/>
        <w:rPr>
          <w:sz w:val="18"/>
          <w:szCs w:val="18"/>
          <w:lang w:val="hu-HU"/>
        </w:rPr>
      </w:pPr>
      <w:r>
        <w:rPr>
          <w:sz w:val="18"/>
          <w:szCs w:val="18"/>
          <w:lang w:val="hu-HU"/>
        </w:rPr>
        <w:t>H314</w:t>
      </w:r>
      <w:r>
        <w:rPr>
          <w:sz w:val="18"/>
          <w:szCs w:val="18"/>
          <w:shd w:fill="FFFFFF" w:val="clear"/>
        </w:rPr>
        <w:t xml:space="preserve"> Súlyos égési sérülést és szemkárosodást okoz.</w:t>
      </w:r>
    </w:p>
    <w:p>
      <w:pPr>
        <w:pStyle w:val="Normal"/>
        <w:widowControl w:val="false"/>
        <w:jc w:val="both"/>
        <w:rPr>
          <w:sz w:val="18"/>
          <w:szCs w:val="18"/>
          <w:lang w:val="hu-HU"/>
        </w:rPr>
      </w:pPr>
      <w:r>
        <w:rPr>
          <w:sz w:val="18"/>
          <w:szCs w:val="18"/>
          <w:lang w:val="hu-HU"/>
        </w:rPr>
        <w:t xml:space="preserve">H315 </w:t>
      </w:r>
      <w:r>
        <w:rPr>
          <w:sz w:val="18"/>
          <w:szCs w:val="18"/>
          <w:shd w:fill="FFFFFF" w:val="clear"/>
        </w:rPr>
        <w:t>Bőrirritáló hatású.</w:t>
      </w:r>
    </w:p>
    <w:p>
      <w:pPr>
        <w:pStyle w:val="Normal"/>
        <w:widowControl w:val="false"/>
        <w:jc w:val="both"/>
        <w:rPr>
          <w:sz w:val="18"/>
          <w:szCs w:val="18"/>
          <w:lang w:val="hu-HU"/>
        </w:rPr>
      </w:pPr>
      <w:r>
        <w:rPr>
          <w:sz w:val="18"/>
          <w:szCs w:val="18"/>
          <w:lang w:val="hu-HU"/>
        </w:rPr>
        <w:t xml:space="preserve">H318 </w:t>
      </w:r>
      <w:r>
        <w:rPr>
          <w:sz w:val="18"/>
          <w:szCs w:val="18"/>
          <w:shd w:fill="FFFFFF" w:val="clear"/>
        </w:rPr>
        <w:t>Súlyos szemkárosodást okoz.</w:t>
      </w:r>
    </w:p>
    <w:p>
      <w:pPr>
        <w:pStyle w:val="Normal"/>
        <w:widowControl w:val="false"/>
        <w:ind w:right="1355" w:hanging="0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</w:r>
    </w:p>
    <w:p>
      <w:pPr>
        <w:pStyle w:val="Normal"/>
        <w:widowControl w:val="false"/>
        <w:ind w:right="1355" w:hanging="0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  <w:t>ADR - A VESZÉLYES ÁRUK NEMZETKÖZI KÖZÚTI SZÁLLÍTÁSÁRÓL SZÓLÓ EURÓPAI MEGÁLLAPODÁS</w:t>
      </w:r>
    </w:p>
    <w:p>
      <w:pPr>
        <w:pStyle w:val="Normal"/>
        <w:widowControl w:val="false"/>
        <w:ind w:right="1355" w:hanging="0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  <w:t>RID - a Veszélyes Áruk Nemzetközi Vasúti Fuvarozásáról szóló Szabályzat</w:t>
      </w:r>
    </w:p>
    <w:p>
      <w:pPr>
        <w:pStyle w:val="Normal"/>
        <w:widowControl w:val="false"/>
        <w:ind w:right="1355" w:hanging="0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  <w:t>IMDG - az „Életbiztonság a tengeren” tárgyú nemzetközi egyezmény (SOLAS egyezmény), 1974, A rész, VII. fejezetének végrehajtására szolgáló Veszélyes Áruk Nemzetközi Tengerészeti Kódexe, amelyet a Nemzetközi Tengerészeti Szervezet (IMO), (London), ad ki. Magyarországon kihirdette a 2001. évi XI. törvény;</w:t>
      </w:r>
    </w:p>
    <w:p>
      <w:pPr>
        <w:pStyle w:val="Normal"/>
        <w:widowControl w:val="false"/>
        <w:ind w:right="1355" w:hanging="0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  <w:t>ICAO -International Civil Aviation Organization (Nemzetközi Polgári Repülési Szervezet)</w:t>
      </w:r>
    </w:p>
    <w:p>
      <w:pPr>
        <w:pStyle w:val="Normal"/>
        <w:widowControl w:val="false"/>
        <w:ind w:right="1355" w:hanging="0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  <w:t>IATA - International Air Transport Association (Nemzetközi Légi Szállítási Szövetség)</w:t>
      </w:r>
    </w:p>
    <w:p>
      <w:pPr>
        <w:pStyle w:val="Normal"/>
        <w:widowControl w:val="false"/>
        <w:ind w:right="1355" w:hanging="0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  <w:t>CAS- Chemical Abstract Service</w:t>
      </w:r>
    </w:p>
    <w:p>
      <w:pPr>
        <w:pStyle w:val="Normal"/>
        <w:widowControl w:val="false"/>
        <w:ind w:right="1355" w:hanging="0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  <w:t>BEM – Biológiai expozíciós mutatók</w:t>
      </w:r>
    </w:p>
    <w:p>
      <w:pPr>
        <w:pStyle w:val="Normal"/>
        <w:widowControl w:val="false"/>
        <w:ind w:right="1355" w:hanging="0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  <w:t>DNEL - DerivedNoEffectLevel). Származtatott hatásmentes szint.</w:t>
      </w:r>
    </w:p>
    <w:p>
      <w:pPr>
        <w:pStyle w:val="Normal"/>
        <w:widowControl w:val="false"/>
        <w:ind w:right="1355" w:hanging="0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  <w:t>PNEC - Becsült hatásmentes koncentráció</w:t>
      </w:r>
    </w:p>
    <w:p>
      <w:pPr>
        <w:pStyle w:val="Normal"/>
        <w:widowControl w:val="false"/>
        <w:ind w:right="1355" w:hanging="0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  <w:t>PBT - Perzisztens, Bioakkumulatív, Toxikus</w:t>
      </w:r>
    </w:p>
    <w:p>
      <w:pPr>
        <w:pStyle w:val="Normal"/>
        <w:widowControl w:val="false"/>
        <w:ind w:right="1355" w:hanging="0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  <w:t>vPvB - Nagyon perzisztens és nagyon bioakkumulatív</w:t>
      </w:r>
    </w:p>
    <w:p>
      <w:pPr>
        <w:pStyle w:val="Normal"/>
        <w:widowControl w:val="false"/>
        <w:ind w:right="1355" w:hanging="0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  <w:t>UVCB anyagok - Ismeretlen szerkezetű vagy változó összetételű, összetett reakcióban keletkezett vagy biológiai anyag</w:t>
      </w:r>
    </w:p>
    <w:p>
      <w:pPr>
        <w:pStyle w:val="Normal"/>
        <w:widowControl w:val="false"/>
        <w:ind w:right="1355" w:hanging="0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  <w:t>ÁK – általános koncentráció</w:t>
      </w:r>
    </w:p>
    <w:p>
      <w:pPr>
        <w:pStyle w:val="Normal"/>
        <w:widowControl w:val="false"/>
        <w:ind w:right="1355" w:hanging="0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  <w:t>CK - csúcskoncentráció</w:t>
      </w:r>
    </w:p>
    <w:p>
      <w:pPr>
        <w:pStyle w:val="Normal"/>
        <w:widowControl w:val="false"/>
        <w:ind w:right="1355" w:hanging="0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  <w:t>VOC - illékony szerves vegyület (VOC): bármely szerves vegyület, amelynél a kezdeti forráspont legfeljebb 523 °K (250 °C) 101,3 kPa nyomáson mérve</w:t>
      </w:r>
    </w:p>
    <w:p>
      <w:pPr>
        <w:pStyle w:val="Normal"/>
        <w:widowControl w:val="false"/>
        <w:ind w:right="1355" w:hanging="0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  <w:t>LD50 – letális dózis, vagy halálos adag lenyelésre és bőrön át történő felszívásra, ami a kísérleti állatok 50%-ának elpusztulását okozza 24 óra alatt.</w:t>
      </w:r>
    </w:p>
    <w:p>
      <w:pPr>
        <w:pStyle w:val="Normal"/>
        <w:widowControl w:val="false"/>
        <w:ind w:right="1355" w:hanging="0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  <w:t>LC50 - letális dózis, vagy halálos adag belégzésre történő mérgezésre, ami a kísérleti állatok 50%-ának elpusztulását okozza 24 óra alatt.</w:t>
      </w:r>
    </w:p>
    <w:p>
      <w:pPr>
        <w:pStyle w:val="Normal"/>
        <w:widowControl w:val="false"/>
        <w:ind w:right="1355" w:hanging="0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  <w:t>LOEC - (Lowest Observed Effects Concentration) az a legkisebb koncentráció, amelynek hatása már megfigyelhető.  EC50 - Az anyag azon effektív koncentrációja, amely a maximális válaszreakció 50%-át idézi elő.</w:t>
      </w:r>
    </w:p>
    <w:p>
      <w:pPr>
        <w:pStyle w:val="Normal"/>
        <w:widowControl w:val="false"/>
        <w:ind w:right="1355" w:hanging="0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  <w:t>Kémiai oxigénigény (KOI): A vízben lévő szerves anyagok kémiai lebontásához, oxidálásához szükséges O2 mennyiségét jelenti. A víz szennyezettségének mérőszáma.</w:t>
      </w:r>
    </w:p>
    <w:p>
      <w:pPr>
        <w:pStyle w:val="Normal"/>
        <w:widowControl w:val="false"/>
        <w:ind w:right="1355" w:hanging="0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  <w:t>NOEC - Megfigyelhető hatást nem okozó koncentráció</w:t>
      </w:r>
    </w:p>
    <w:p>
      <w:pPr>
        <w:pStyle w:val="Normal"/>
        <w:widowControl w:val="false"/>
        <w:ind w:right="1355" w:hanging="0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  <w:t>Biológiai (biokémiai) oxigénigény (BOI): A vízben lévő szerves anyagoknak baktériumok általi lebontásához szükséges oxigénmennyiség adott idő és hőmérséklet alatt.</w:t>
      </w:r>
    </w:p>
    <w:p>
      <w:pPr>
        <w:pStyle w:val="Normal"/>
        <w:widowControl w:val="false"/>
        <w:ind w:right="1355" w:hanging="0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  <w:t>BCF - Biokoncentrációs faktor</w:t>
      </w:r>
    </w:p>
    <w:p>
      <w:pPr>
        <w:pStyle w:val="Normal"/>
        <w:widowControl w:val="false"/>
        <w:ind w:right="1355" w:hanging="0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  <w:t>log Pow – oktanol-víz megoszlási koefficiens</w:t>
      </w:r>
    </w:p>
    <w:p>
      <w:pPr>
        <w:pStyle w:val="Normal"/>
        <w:widowControl w:val="false"/>
        <w:ind w:right="1355" w:hanging="0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  <w:t>Koc - szerves szén megoszlási koefficiense</w:t>
      </w:r>
    </w:p>
    <w:p>
      <w:pPr>
        <w:pStyle w:val="Normal"/>
        <w:widowControl w:val="false"/>
        <w:ind w:right="1355" w:hanging="0"/>
        <w:jc w:val="both"/>
        <w:rPr>
          <w:sz w:val="18"/>
          <w:szCs w:val="18"/>
          <w:lang w:val="hu-HU"/>
        </w:rPr>
      </w:pPr>
      <w:r>
        <w:rPr>
          <w:sz w:val="18"/>
          <w:szCs w:val="18"/>
          <w:lang w:val="hu-HU"/>
        </w:rPr>
        <w:t>„</w:t>
      </w:r>
      <w:r>
        <w:rPr>
          <w:sz w:val="18"/>
          <w:szCs w:val="18"/>
          <w:lang w:val="hu-HU"/>
        </w:rPr>
        <w:t>CE-jelölés”: olyan jelölés, amellyel a gyártó jelzi, hogy az egyéni védőeszköz megfelel a jelölés elhelyezését előíró uniós harmonizációs jogi aktusban foglalt vonatkozó követelményeknek;</w:t>
      </w:r>
    </w:p>
    <w:p>
      <w:pPr>
        <w:pStyle w:val="Normal"/>
        <w:widowControl w:val="false"/>
        <w:ind w:right="1213" w:hanging="0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</w:r>
    </w:p>
    <w:p>
      <w:pPr>
        <w:pStyle w:val="Normal"/>
        <w:widowControl w:val="false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  <w:t>Felülvizsgálat:</w:t>
      </w:r>
    </w:p>
    <w:p>
      <w:pPr>
        <w:pStyle w:val="Normal"/>
        <w:widowControl w:val="false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  <w:t>2020.02.11.: Verzió 1.0-HU: A magyar adatlap kibocsátása</w:t>
      </w:r>
    </w:p>
    <w:p>
      <w:pPr>
        <w:pStyle w:val="Normal"/>
        <w:widowControl w:val="false"/>
        <w:jc w:val="both"/>
        <w:rPr>
          <w:color w:val="000000"/>
          <w:sz w:val="18"/>
          <w:szCs w:val="18"/>
          <w:lang w:val="hu-HU"/>
        </w:rPr>
      </w:pPr>
      <w:r>
        <w:rPr>
          <w:color w:val="000000"/>
          <w:sz w:val="18"/>
          <w:szCs w:val="18"/>
          <w:lang w:val="hu-HU"/>
        </w:rPr>
      </w:r>
    </w:p>
    <w:p>
      <w:pPr>
        <w:pStyle w:val="Normal"/>
        <w:widowControl w:val="false"/>
        <w:jc w:val="both"/>
        <w:rPr/>
      </w:pPr>
      <w:r>
        <w:rPr/>
      </w:r>
    </w:p>
    <w:sectPr>
      <w:headerReference w:type="default" r:id="rId6"/>
      <w:type w:val="nextPage"/>
      <w:pgSz w:w="11906" w:h="16838"/>
      <w:pgMar w:left="1133" w:right="201" w:header="708" w:top="765" w:footer="0" w:bottom="709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ee"/>
    <w:family w:val="roman"/>
    <w:pitch w:val="variable"/>
  </w:font>
  <w:font w:name="EUAlbertina">
    <w:charset w:val="ee"/>
    <w:family w:val="roman"/>
    <w:pitch w:val="variable"/>
  </w:font>
  <w:font w:name="Tahoma">
    <w:charset w:val="ee"/>
    <w:family w:val="roman"/>
    <w:pitch w:val="variable"/>
  </w:font>
  <w:font w:name="Arial">
    <w:charset w:val="ee"/>
    <w:family w:val="swiss"/>
    <w:pitch w:val="variable"/>
  </w:font>
  <w:font w:name="Calibri">
    <w:charset w:val="ee"/>
    <w:family w:val="roman"/>
    <w:pitch w:val="variable"/>
  </w:font>
  <w:font w:name="Verdana">
    <w:charset w:val="ee"/>
    <w:family w:val="roman"/>
    <w:pitch w:val="variable"/>
  </w:font>
  <w:font w:name="MS Sans Serif">
    <w:charset w:val="ee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354" w:type="dxa"/>
      <w:jc w:val="left"/>
      <w:tblInd w:w="-32" w:type="dxa"/>
      <w:tblCellMar>
        <w:top w:w="0" w:type="dxa"/>
        <w:left w:w="71" w:type="dxa"/>
        <w:bottom w:w="0" w:type="dxa"/>
        <w:right w:w="71" w:type="dxa"/>
      </w:tblCellMar>
      <w:tblLook w:firstRow="0" w:noVBand="0" w:lastRow="0" w:firstColumn="0" w:lastColumn="0" w:noHBand="0" w:val="0000"/>
    </w:tblPr>
    <w:tblGrid>
      <w:gridCol w:w="3260"/>
      <w:gridCol w:w="2850"/>
      <w:gridCol w:w="3244"/>
    </w:tblGrid>
    <w:tr>
      <w:trPr/>
      <w:tc>
        <w:tcPr>
          <w:tcW w:w="9354" w:type="dxa"/>
          <w:gridSpan w:val="3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color="000000" w:fill="auto" w:val="clear"/>
        </w:tcPr>
        <w:p>
          <w:pPr>
            <w:pStyle w:val="Normal"/>
            <w:widowControl w:val="false"/>
            <w:jc w:val="center"/>
            <w:rPr>
              <w:b/>
              <w:b/>
              <w:bCs/>
              <w:color w:val="000000"/>
              <w:lang w:val="en-GB"/>
            </w:rPr>
          </w:pPr>
          <w:r>
            <w:rPr>
              <w:b/>
              <w:bCs/>
              <w:color w:val="000000"/>
              <w:lang w:val="en-GB"/>
            </w:rPr>
            <w:t>Biztonsági adatlap</w:t>
          </w:r>
        </w:p>
        <w:p>
          <w:pPr>
            <w:pStyle w:val="Normal"/>
            <w:widowControl w:val="false"/>
            <w:jc w:val="center"/>
            <w:rPr>
              <w:bCs/>
              <w:sz w:val="18"/>
              <w:szCs w:val="18"/>
              <w:lang w:val="en-GB"/>
            </w:rPr>
          </w:pPr>
          <w:r>
            <w:rPr>
              <w:bCs/>
              <w:sz w:val="18"/>
              <w:szCs w:val="18"/>
              <w:lang w:val="en-GB"/>
            </w:rPr>
            <w:t>az 1907/2006/EK rendelet II. melléklete szerint</w:t>
          </w:r>
        </w:p>
        <w:p>
          <w:pPr>
            <w:pStyle w:val="Normal"/>
            <w:widowControl w:val="false"/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</w:r>
        </w:p>
        <w:p>
          <w:pPr>
            <w:pStyle w:val="Normal"/>
            <w:widowControl w:val="false"/>
            <w:jc w:val="center"/>
            <w:rPr>
              <w:b/>
              <w:b/>
              <w:sz w:val="18"/>
              <w:szCs w:val="18"/>
              <w:lang w:val="en-GB"/>
            </w:rPr>
          </w:pPr>
          <w:r>
            <w:rPr>
              <w:b/>
              <w:bCs/>
              <w:iCs/>
              <w:sz w:val="18"/>
              <w:szCs w:val="18"/>
              <w:lang w:val="hu-HU" w:eastAsia="en-GB"/>
            </w:rPr>
            <w:t>K2 PERFECT AKRA</w:t>
          </w:r>
        </w:p>
      </w:tc>
    </w:tr>
    <w:tr>
      <w:trPr/>
      <w:tc>
        <w:tcPr>
          <w:tcW w:w="3260" w:type="dxa"/>
          <w:tcBorders>
            <w:top w:val="single" w:sz="6" w:space="0" w:color="000000"/>
          </w:tcBorders>
          <w:shd w:color="000000" w:fill="FFFFFF" w:val="clear"/>
        </w:tcPr>
        <w:p>
          <w:pPr>
            <w:pStyle w:val="Normal"/>
            <w:widowControl w:val="false"/>
            <w:rPr>
              <w:sz w:val="18"/>
              <w:szCs w:val="18"/>
            </w:rPr>
          </w:pPr>
          <w:r>
            <w:rPr>
              <w:color w:val="000000"/>
              <w:sz w:val="18"/>
              <w:szCs w:val="18"/>
              <w:lang w:val="en-GB"/>
            </w:rPr>
            <w:t xml:space="preserve"> </w:t>
          </w:r>
          <w:r>
            <w:rPr>
              <w:color w:val="000000"/>
              <w:sz w:val="18"/>
              <w:szCs w:val="18"/>
              <w:lang w:val="en-GB"/>
            </w:rPr>
            <w:t>Elkészítés időpontja: 2020.02.11</w:t>
          </w:r>
        </w:p>
      </w:tc>
      <w:tc>
        <w:tcPr>
          <w:tcW w:w="2850" w:type="dxa"/>
          <w:tcBorders>
            <w:top w:val="single" w:sz="6" w:space="0" w:color="000000"/>
          </w:tcBorders>
          <w:shd w:color="000000" w:fill="FFFFFF" w:val="clear"/>
        </w:tcPr>
        <w:p>
          <w:pPr>
            <w:pStyle w:val="Normal"/>
            <w:widowControl w:val="false"/>
            <w:rPr>
              <w:sz w:val="18"/>
              <w:szCs w:val="18"/>
            </w:rPr>
          </w:pPr>
          <w:r>
            <w:rPr>
              <w:color w:val="000000"/>
              <w:sz w:val="18"/>
              <w:szCs w:val="18"/>
            </w:rPr>
            <w:t xml:space="preserve"> </w:t>
          </w:r>
          <w:r>
            <w:rPr>
              <w:color w:val="000000"/>
              <w:sz w:val="18"/>
              <w:szCs w:val="18"/>
            </w:rPr>
            <w:t xml:space="preserve">Verzió szám: 1.0-HU </w:t>
          </w:r>
        </w:p>
      </w:tc>
      <w:tc>
        <w:tcPr>
          <w:tcW w:w="3244" w:type="dxa"/>
          <w:tcBorders>
            <w:top w:val="single" w:sz="6" w:space="0" w:color="000000"/>
          </w:tcBorders>
          <w:shd w:color="000000" w:fill="FFFFFF" w:val="clear"/>
        </w:tcPr>
        <w:p>
          <w:pPr>
            <w:pStyle w:val="Normal"/>
            <w:widowControl w:val="false"/>
            <w:rPr/>
          </w:pPr>
          <w:r>
            <w:rPr>
              <w:color w:val="000000"/>
              <w:sz w:val="18"/>
              <w:szCs w:val="18"/>
            </w:rPr>
            <w:t xml:space="preserve"> </w:t>
          </w:r>
          <w:r>
            <w:rPr>
              <w:color w:val="000000"/>
              <w:sz w:val="18"/>
              <w:szCs w:val="18"/>
            </w:rPr>
            <w:t xml:space="preserve">Felülvizsgálat: -                      </w:t>
          </w:r>
          <w:r>
            <w:rPr>
              <w:color w:val="000000"/>
              <w:sz w:val="18"/>
              <w:szCs w:val="18"/>
              <w:lang w:val="hu-HU"/>
            </w:rPr>
            <w:t xml:space="preserve">oldal </w:t>
          </w:r>
          <w:r>
            <w:rPr>
              <w:bCs/>
              <w:color w:val="000000"/>
              <w:sz w:val="18"/>
              <w:szCs w:val="18"/>
            </w:rPr>
            <w:fldChar w:fldCharType="begin"/>
          </w:r>
          <w:r>
            <w:rPr>
              <w:sz w:val="18"/>
              <w:szCs w:val="18"/>
              <w:bCs/>
            </w:rPr>
            <w:instrText> PAGE \* ARABIC </w:instrText>
          </w:r>
          <w:r>
            <w:rPr>
              <w:sz w:val="18"/>
              <w:szCs w:val="18"/>
              <w:bCs/>
            </w:rPr>
            <w:fldChar w:fldCharType="separate"/>
          </w:r>
          <w:r>
            <w:rPr>
              <w:sz w:val="18"/>
              <w:szCs w:val="18"/>
              <w:bCs/>
            </w:rPr>
            <w:t>8</w:t>
          </w:r>
          <w:r>
            <w:rPr>
              <w:sz w:val="18"/>
              <w:szCs w:val="18"/>
              <w:bCs/>
            </w:rPr>
            <w:fldChar w:fldCharType="end"/>
          </w:r>
          <w:r>
            <w:rPr>
              <w:color w:val="000000"/>
              <w:sz w:val="18"/>
              <w:szCs w:val="18"/>
              <w:lang w:val="hu-HU"/>
            </w:rPr>
            <w:t xml:space="preserve"> / </w:t>
          </w:r>
          <w:r>
            <w:rPr>
              <w:bCs/>
              <w:color w:val="000000"/>
              <w:sz w:val="18"/>
              <w:szCs w:val="18"/>
            </w:rPr>
            <w:fldChar w:fldCharType="begin"/>
          </w:r>
          <w:r>
            <w:rPr>
              <w:sz w:val="18"/>
              <w:szCs w:val="18"/>
              <w:bCs/>
            </w:rPr>
            <w:instrText> NUMPAGES \* ARABIC </w:instrText>
          </w:r>
          <w:r>
            <w:rPr>
              <w:sz w:val="18"/>
              <w:szCs w:val="18"/>
              <w:bCs/>
            </w:rPr>
            <w:fldChar w:fldCharType="separate"/>
          </w:r>
          <w:r>
            <w:rPr>
              <w:sz w:val="18"/>
              <w:szCs w:val="18"/>
              <w:bCs/>
            </w:rPr>
            <w:t>8</w:t>
          </w:r>
          <w:r>
            <w:rPr>
              <w:sz w:val="18"/>
              <w:szCs w:val="18"/>
              <w:bCs/>
            </w:rPr>
            <w:fldChar w:fldCharType="end"/>
          </w:r>
        </w:p>
      </w:tc>
    </w:tr>
  </w:tbl>
  <w:p>
    <w:pPr>
      <w:pStyle w:val="Normal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embedSystemFonts/>
  <w:defaultTabStop w:val="85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en-GB" w:eastAsia="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754cf"/>
    <w:pPr>
      <w:widowControl/>
      <w:bidi w:val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sv-SE" w:eastAsia="sv-SE" w:bidi="ar-SA"/>
    </w:rPr>
  </w:style>
  <w:style w:type="paragraph" w:styleId="Cmsor1">
    <w:name w:val="Heading 1"/>
    <w:basedOn w:val="Normal"/>
    <w:next w:val="Szvegtrzs"/>
    <w:link w:val="Cmsor1Char"/>
    <w:qFormat/>
    <w:rsid w:val="00147a83"/>
    <w:pPr>
      <w:keepNext w:val="true"/>
      <w:suppressAutoHyphens w:val="true"/>
      <w:jc w:val="center"/>
      <w:outlineLvl w:val="0"/>
    </w:pPr>
    <w:rPr>
      <w:rFonts w:ascii="EUAlbertina" w:hAnsi="EUAlbertina" w:eastAsia="EUAlbertina" w:cs="EUAlbertina"/>
      <w:b/>
      <w:bCs/>
      <w:color w:val="000000"/>
      <w:kern w:val="2"/>
      <w:lang w:val="hu-HU" w:eastAsia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fejChar" w:customStyle="1">
    <w:name w:val="Élőfej Char"/>
    <w:basedOn w:val="DefaultParagraphFont"/>
    <w:link w:val="lfej"/>
    <w:uiPriority w:val="99"/>
    <w:qFormat/>
    <w:locked/>
    <w:rsid w:val="00436678"/>
    <w:rPr>
      <w:rFonts w:cs="Times New Roman"/>
      <w:sz w:val="24"/>
      <w:szCs w:val="24"/>
      <w:lang w:val="sv-SE" w:eastAsia="sv-SE"/>
    </w:rPr>
  </w:style>
  <w:style w:type="character" w:styleId="LlbChar" w:customStyle="1">
    <w:name w:val="Élőláb Char"/>
    <w:basedOn w:val="DefaultParagraphFont"/>
    <w:link w:val="llb"/>
    <w:uiPriority w:val="99"/>
    <w:qFormat/>
    <w:locked/>
    <w:rsid w:val="00436678"/>
    <w:rPr>
      <w:rFonts w:cs="Times New Roman"/>
      <w:sz w:val="24"/>
      <w:szCs w:val="24"/>
      <w:lang w:val="sv-SE" w:eastAsia="sv-SE"/>
    </w:rPr>
  </w:style>
  <w:style w:type="character" w:styleId="Internethivatkozs">
    <w:name w:val="Internet-hivatkozás"/>
    <w:basedOn w:val="DefaultParagraphFont"/>
    <w:uiPriority w:val="99"/>
    <w:unhideWhenUsed/>
    <w:rsid w:val="00bc58a7"/>
    <w:rPr>
      <w:rFonts w:cs="Times New Roman"/>
      <w:color w:val="0000FF"/>
      <w:u w:val="single"/>
    </w:rPr>
  </w:style>
  <w:style w:type="character" w:styleId="Cmsor1Char" w:customStyle="1">
    <w:name w:val="Címsor 1 Char"/>
    <w:basedOn w:val="DefaultParagraphFont"/>
    <w:link w:val="Cmsor1"/>
    <w:qFormat/>
    <w:rsid w:val="00147a83"/>
    <w:rPr>
      <w:rFonts w:ascii="EUAlbertina" w:hAnsi="EUAlbertina" w:eastAsia="EUAlbertina" w:cs="EUAlbertina"/>
      <w:b/>
      <w:bCs/>
      <w:color w:val="000000"/>
      <w:kern w:val="2"/>
      <w:sz w:val="24"/>
      <w:szCs w:val="24"/>
      <w:lang w:val="hu-HU" w:eastAsia="ar-SA"/>
    </w:rPr>
  </w:style>
  <w:style w:type="character" w:styleId="SzvegtrzsChar" w:customStyle="1">
    <w:name w:val="Szövegtörzs Char"/>
    <w:basedOn w:val="DefaultParagraphFont"/>
    <w:link w:val="Szvegtrzs"/>
    <w:uiPriority w:val="99"/>
    <w:semiHidden/>
    <w:qFormat/>
    <w:rsid w:val="00147a83"/>
    <w:rPr>
      <w:sz w:val="24"/>
      <w:szCs w:val="24"/>
      <w:lang w:val="sv-SE" w:eastAsia="sv-SE"/>
    </w:rPr>
  </w:style>
  <w:style w:type="character" w:styleId="BuborkszvegChar" w:customStyle="1">
    <w:name w:val="Buborékszöveg Char"/>
    <w:basedOn w:val="DefaultParagraphFont"/>
    <w:link w:val="Buborkszveg"/>
    <w:uiPriority w:val="99"/>
    <w:semiHidden/>
    <w:qFormat/>
    <w:rsid w:val="00202f39"/>
    <w:rPr>
      <w:rFonts w:ascii="Tahoma" w:hAnsi="Tahoma" w:cs="Tahoma"/>
      <w:sz w:val="16"/>
      <w:szCs w:val="16"/>
      <w:lang w:val="sv-SE" w:eastAsia="sv-SE"/>
    </w:rPr>
  </w:style>
  <w:style w:type="character" w:styleId="ListLabel1">
    <w:name w:val="ListLabel 1"/>
    <w:qFormat/>
    <w:rPr>
      <w:color w:val="auto"/>
      <w:sz w:val="18"/>
      <w:szCs w:val="18"/>
      <w:u w:val="none"/>
      <w:shd w:fill="FFFFFF" w:val="clear"/>
    </w:rPr>
  </w:style>
  <w:style w:type="paragraph" w:styleId="Cmsor">
    <w:name w:val="Címsor"/>
    <w:basedOn w:val="Normal"/>
    <w:next w:val="Szvegtrzs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Szvegtrzs">
    <w:name w:val="Body Text"/>
    <w:basedOn w:val="Normal"/>
    <w:link w:val="SzvegtrzsChar"/>
    <w:uiPriority w:val="99"/>
    <w:semiHidden/>
    <w:unhideWhenUsed/>
    <w:rsid w:val="00147a83"/>
    <w:pPr>
      <w:spacing w:before="0" w:after="120"/>
    </w:pPr>
    <w:rPr/>
  </w:style>
  <w:style w:type="paragraph" w:styleId="Lista">
    <w:name w:val="List"/>
    <w:basedOn w:val="Szvegtrzs"/>
    <w:pPr/>
    <w:rPr>
      <w:rFonts w:cs="Arial"/>
    </w:rPr>
  </w:style>
  <w:style w:type="paragraph" w:styleId="Felirat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rgymutat">
    <w:name w:val="Tárgymutató"/>
    <w:basedOn w:val="Normal"/>
    <w:qFormat/>
    <w:pPr>
      <w:suppressLineNumbers/>
    </w:pPr>
    <w:rPr>
      <w:rFonts w:cs="Arial"/>
    </w:rPr>
  </w:style>
  <w:style w:type="paragraph" w:styleId="Lfej">
    <w:name w:val="Header"/>
    <w:basedOn w:val="Normal"/>
    <w:link w:val="lfejChar"/>
    <w:uiPriority w:val="99"/>
    <w:rsid w:val="00436678"/>
    <w:pPr>
      <w:tabs>
        <w:tab w:val="clear" w:pos="850"/>
        <w:tab w:val="center" w:pos="4536" w:leader="none"/>
        <w:tab w:val="right" w:pos="9072" w:leader="none"/>
      </w:tabs>
    </w:pPr>
    <w:rPr/>
  </w:style>
  <w:style w:type="paragraph" w:styleId="Llb">
    <w:name w:val="Footer"/>
    <w:basedOn w:val="Normal"/>
    <w:link w:val="llbChar"/>
    <w:uiPriority w:val="99"/>
    <w:rsid w:val="00436678"/>
    <w:pPr>
      <w:tabs>
        <w:tab w:val="clear" w:pos="850"/>
        <w:tab w:val="center" w:pos="4536" w:leader="none"/>
        <w:tab w:val="right" w:pos="9072" w:leader="none"/>
      </w:tabs>
    </w:pPr>
    <w:rPr/>
  </w:style>
  <w:style w:type="paragraph" w:styleId="Standard" w:customStyle="1">
    <w:name w:val="Standard"/>
    <w:qFormat/>
    <w:rsid w:val="008b0453"/>
    <w:pPr>
      <w:widowControl/>
      <w:suppressAutoHyphens w:val="true"/>
      <w:bidi w:val="0"/>
      <w:jc w:val="left"/>
      <w:textAlignment w:val="baseline"/>
    </w:pPr>
    <w:rPr>
      <w:rFonts w:ascii="Calibri" w:hAnsi="Calibri" w:eastAsia="SimSun" w:cs="Calibri"/>
      <w:color w:val="auto"/>
      <w:kern w:val="2"/>
      <w:sz w:val="24"/>
      <w:szCs w:val="20"/>
      <w:lang w:eastAsia="en-US" w:val="en-GB" w:bidi="ar-SA"/>
    </w:rPr>
  </w:style>
  <w:style w:type="paragraph" w:styleId="Western" w:customStyle="1">
    <w:name w:val="western"/>
    <w:basedOn w:val="Normal"/>
    <w:qFormat/>
    <w:rsid w:val="00df237e"/>
    <w:pPr>
      <w:spacing w:beforeAutospacing="1" w:after="119"/>
    </w:pPr>
    <w:rPr>
      <w:lang w:val="en-GB" w:eastAsia="en-GB"/>
    </w:rPr>
  </w:style>
  <w:style w:type="paragraph" w:styleId="Default" w:customStyle="1">
    <w:name w:val="Default"/>
    <w:qFormat/>
    <w:rsid w:val="00bc58a7"/>
    <w:pPr>
      <w:widowControl/>
      <w:bidi w:val="0"/>
      <w:jc w:val="left"/>
    </w:pPr>
    <w:rPr>
      <w:rFonts w:ascii="Verdana" w:hAnsi="Verdana" w:cs="Verdana" w:eastAsia="Times New Roman"/>
      <w:color w:val="000000"/>
      <w:kern w:val="0"/>
      <w:sz w:val="24"/>
      <w:szCs w:val="24"/>
      <w:lang w:val="en-GB" w:eastAsia="en-GB" w:bidi="ar-SA"/>
    </w:rPr>
  </w:style>
  <w:style w:type="paragraph" w:styleId="BalloonText">
    <w:name w:val="Balloon Text"/>
    <w:basedOn w:val="Normal"/>
    <w:link w:val="BuborkszvegChar"/>
    <w:uiPriority w:val="99"/>
    <w:semiHidden/>
    <w:unhideWhenUsed/>
    <w:qFormat/>
    <w:rsid w:val="00202f39"/>
    <w:pPr/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Rcsostblzat">
    <w:name w:val="Table Grid"/>
    <w:basedOn w:val="Normltblzat"/>
    <w:uiPriority w:val="59"/>
    <w:rsid w:val="009b4d06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info@unitrak.hu" TargetMode="External"/><Relationship Id="rId3" Type="http://schemas.openxmlformats.org/officeDocument/2006/relationships/image" Target="media/image1.jpeg"/><Relationship Id="rId4" Type="http://schemas.openxmlformats.org/officeDocument/2006/relationships/image" Target="media/image2.gif"/><Relationship Id="rId5" Type="http://schemas.openxmlformats.org/officeDocument/2006/relationships/image" Target="media/image3.gif"/><Relationship Id="rId6" Type="http://schemas.openxmlformats.org/officeDocument/2006/relationships/header" Target="header1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BF58AE-995A-43A8-B0F4-82F5CB90F9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XLSX_Editor/6.2.8.2$Windows_x86 LibreOffice_project/</Application>
  <Pages>8</Pages>
  <Words>2238</Words>
  <Characters>16267</Characters>
  <CharactersWithSpaces>18233</CharactersWithSpaces>
  <Paragraphs>355</Paragraphs>
  <Company>JPev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2024-10-07T09:34:00Z</dcterms:created>
  <dc:creator>Peter Jegyugya</dc:creator>
  <dc:description/>
  <dc:language>hu-HU</dc:language>
  <cp:lastModifiedBy/>
  <cp:lastPrinted>2014-06-10T15:05:00Z</cp:lastPrinted>
  <dcterms:modified xsi:type="dcterms:W3CDTF">2026-01-20T13:41:51Z</dcterms:modified>
  <cp:revision>3</cp:revision>
  <dc:subject/>
  <dc:title>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JPev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